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3C" w:rsidRPr="0064623C" w:rsidRDefault="0064623C" w:rsidP="00A36B40">
      <w:pPr>
        <w:spacing w:line="240" w:lineRule="auto"/>
        <w:rPr>
          <w:b/>
          <w:sz w:val="4"/>
          <w:szCs w:val="4"/>
          <w:lang w:val="de-DE"/>
        </w:rPr>
      </w:pPr>
    </w:p>
    <w:p w:rsidR="003C251E" w:rsidRDefault="003C251E" w:rsidP="00A36B40">
      <w:pPr>
        <w:spacing w:line="240" w:lineRule="auto"/>
        <w:rPr>
          <w:b/>
          <w:sz w:val="28"/>
          <w:lang w:val="de-DE"/>
        </w:rPr>
      </w:pPr>
      <w:r w:rsidRPr="003C251E">
        <w:rPr>
          <w:b/>
          <w:sz w:val="28"/>
          <w:lang w:val="de-DE"/>
        </w:rPr>
        <w:t>Abgabe der Pille Danach in der Apotheke</w:t>
      </w:r>
    </w:p>
    <w:p w:rsidR="00A36B40" w:rsidRPr="00A36B40" w:rsidRDefault="00A36B40" w:rsidP="003C251E">
      <w:pPr>
        <w:rPr>
          <w:b/>
          <w:sz w:val="4"/>
          <w:szCs w:val="4"/>
          <w:lang w:val="de-DE"/>
        </w:rPr>
      </w:pPr>
    </w:p>
    <w:p w:rsidR="003C251E" w:rsidRPr="00226527" w:rsidRDefault="003C251E" w:rsidP="003C251E">
      <w:pPr>
        <w:rPr>
          <w:b/>
          <w:lang w:val="de-DE"/>
        </w:rPr>
      </w:pPr>
      <w:r w:rsidRPr="00226527">
        <w:rPr>
          <w:b/>
          <w:lang w:val="de-DE"/>
        </w:rPr>
        <w:t>Standard festlegen</w:t>
      </w:r>
    </w:p>
    <w:p w:rsidR="003C251E" w:rsidRDefault="003C251E" w:rsidP="003C251E">
      <w:pPr>
        <w:rPr>
          <w:lang w:val="de-DE"/>
        </w:rPr>
      </w:pPr>
      <w:r>
        <w:rPr>
          <w:lang w:val="de-DE"/>
        </w:rPr>
        <w:t>Legen Sie im Rahmen Ihrer Teambesprechung eine einheitliche Verfahrensweise fest, wie Sie das Beratungsgespräch zur Pille Danach durchführen. Hilfreich hierbei</w:t>
      </w:r>
      <w:r w:rsidR="0064623C">
        <w:rPr>
          <w:lang w:val="de-DE"/>
        </w:rPr>
        <w:t xml:space="preserve"> sind Teammitglieder, die zum</w:t>
      </w:r>
      <w:r>
        <w:rPr>
          <w:lang w:val="de-DE"/>
        </w:rPr>
        <w:t xml:space="preserve"> Thema Notfallverhütung fortgebildet wurden und über interne Fortbildungen ihr Wissen vermitteln können.</w:t>
      </w:r>
    </w:p>
    <w:p w:rsidR="003C251E" w:rsidRPr="00D22D73" w:rsidRDefault="003C251E" w:rsidP="003C251E">
      <w:pPr>
        <w:rPr>
          <w:sz w:val="4"/>
          <w:szCs w:val="4"/>
          <w:lang w:val="de-DE"/>
        </w:rPr>
      </w:pPr>
    </w:p>
    <w:p w:rsidR="003C251E" w:rsidRPr="00226527" w:rsidRDefault="003C251E" w:rsidP="003C251E">
      <w:pPr>
        <w:rPr>
          <w:b/>
          <w:lang w:val="de-DE"/>
        </w:rPr>
      </w:pPr>
      <w:r>
        <w:rPr>
          <w:b/>
          <w:lang w:val="de-DE"/>
        </w:rPr>
        <w:t>R</w:t>
      </w:r>
      <w:r w:rsidRPr="00226527">
        <w:rPr>
          <w:b/>
          <w:lang w:val="de-DE"/>
        </w:rPr>
        <w:t>isiko</w:t>
      </w:r>
      <w:r>
        <w:rPr>
          <w:b/>
          <w:lang w:val="de-DE"/>
        </w:rPr>
        <w:t>bewertung</w:t>
      </w:r>
    </w:p>
    <w:p w:rsidR="003C251E" w:rsidRPr="0064623C" w:rsidRDefault="003C251E" w:rsidP="003C251E">
      <w:pPr>
        <w:rPr>
          <w:lang w:val="de-DE"/>
        </w:rPr>
      </w:pPr>
      <w:r>
        <w:rPr>
          <w:lang w:val="de-DE"/>
        </w:rPr>
        <w:t xml:space="preserve">Das Schwangerschaftsrisiko beträgt im Mittel bei einmalig ungeschütztem Geschlechtsverkehr etwa 5,5 %. An den fruchtbarsten Tagen im Zyklus der Frau, 2 Tage vor dem Eisprung, kann die Wahrscheinlichkeit bis auf 30 % steigen. </w:t>
      </w:r>
      <w:r w:rsidRPr="0064623C">
        <w:rPr>
          <w:b/>
          <w:lang w:val="de-DE"/>
        </w:rPr>
        <w:t>Der Eisprung ist hoch variabel und kann früh, mittig oder spät im Zyklus auftreten. Daher kann nicht vorhergesagt werden, wie hoch das individuelle Schwangerschaftsrisiko an einem gewissen Zyklustag ist. Ein Schwangerschaftsrisiko kann nie sicher ausgeschlossen werden.</w:t>
      </w:r>
      <w:r w:rsidR="0064623C">
        <w:rPr>
          <w:b/>
          <w:lang w:val="de-DE"/>
        </w:rPr>
        <w:t xml:space="preserve"> </w:t>
      </w:r>
      <w:r w:rsidR="0064623C" w:rsidRPr="0064623C">
        <w:rPr>
          <w:lang w:val="de-DE"/>
        </w:rPr>
        <w:t>Von einer Zyklusberechnung ist abzuraten.</w:t>
      </w:r>
    </w:p>
    <w:p w:rsidR="003C251E" w:rsidRDefault="003C251E" w:rsidP="003C251E">
      <w:pPr>
        <w:rPr>
          <w:lang w:val="de-DE"/>
        </w:rPr>
      </w:pPr>
      <w:r>
        <w:rPr>
          <w:lang w:val="de-DE"/>
        </w:rPr>
        <w:t>Die Pille Danach kann eine ungewollte Schwangerschaft verhindern, indem sie den Eisprung verschiebt</w:t>
      </w:r>
      <w:r w:rsidR="00097817">
        <w:rPr>
          <w:lang w:val="de-DE"/>
        </w:rPr>
        <w:t xml:space="preserve"> (kein Schwangerschaftsabbruch)</w:t>
      </w:r>
      <w:r>
        <w:rPr>
          <w:lang w:val="de-DE"/>
        </w:rPr>
        <w:t xml:space="preserve">. Dringend erforderlich ist hierfür eine schnelle Anwendung der Pille Danach, um dem Eisprung zuvorzukommen. Bei Einnahme der Pille Danach innerhalb von 24 Stunden nach dem ungeschützten Geschlechtsverkehr kann das </w:t>
      </w:r>
      <w:r w:rsidRPr="00097817">
        <w:rPr>
          <w:b/>
          <w:lang w:val="de-DE"/>
        </w:rPr>
        <w:t xml:space="preserve">Schwangerschaftsrisiko durch </w:t>
      </w:r>
      <w:proofErr w:type="spellStart"/>
      <w:r w:rsidRPr="00097817">
        <w:rPr>
          <w:b/>
          <w:lang w:val="de-DE"/>
        </w:rPr>
        <w:t>Levonorgestrel</w:t>
      </w:r>
      <w:proofErr w:type="spellEnd"/>
      <w:r w:rsidRPr="00097817">
        <w:rPr>
          <w:b/>
          <w:lang w:val="de-DE"/>
        </w:rPr>
        <w:t xml:space="preserve"> (LNG) auf 2,3 % und durch </w:t>
      </w:r>
      <w:proofErr w:type="spellStart"/>
      <w:r w:rsidRPr="00097817">
        <w:rPr>
          <w:b/>
          <w:lang w:val="de-DE"/>
        </w:rPr>
        <w:t>Ulipristalacetat</w:t>
      </w:r>
      <w:proofErr w:type="spellEnd"/>
      <w:r w:rsidRPr="00097817">
        <w:rPr>
          <w:b/>
          <w:lang w:val="de-DE"/>
        </w:rPr>
        <w:t xml:space="preserve"> (UPA) auf 0,9 % gesenkt</w:t>
      </w:r>
      <w:r>
        <w:rPr>
          <w:lang w:val="de-DE"/>
        </w:rPr>
        <w:t xml:space="preserve"> werden.</w:t>
      </w:r>
    </w:p>
    <w:p w:rsidR="003C251E" w:rsidRPr="00D22D73" w:rsidRDefault="003C251E" w:rsidP="003C251E">
      <w:pPr>
        <w:rPr>
          <w:sz w:val="4"/>
          <w:szCs w:val="4"/>
          <w:lang w:val="de-DE"/>
        </w:rPr>
      </w:pPr>
    </w:p>
    <w:p w:rsidR="003C251E" w:rsidRPr="007A36C7" w:rsidRDefault="003C251E" w:rsidP="003C251E">
      <w:pPr>
        <w:rPr>
          <w:b/>
          <w:lang w:val="de-DE"/>
        </w:rPr>
      </w:pPr>
      <w:r>
        <w:rPr>
          <w:b/>
          <w:lang w:val="de-DE"/>
        </w:rPr>
        <w:t>Dokumentation</w:t>
      </w:r>
    </w:p>
    <w:p w:rsidR="003C251E" w:rsidRDefault="003C251E" w:rsidP="003C251E">
      <w:pPr>
        <w:rPr>
          <w:lang w:val="de-DE"/>
        </w:rPr>
      </w:pPr>
      <w:r>
        <w:rPr>
          <w:lang w:val="de-DE"/>
        </w:rPr>
        <w:t xml:space="preserve">Sie sind nicht verpflichtet, dass Beratungsgespräch zur Pille Danach zu dokumentieren. Die Checkliste dient Ihnen als Hilfestellung für das Beratungsgespräch und das Ausfüllen der Checkliste ist nicht zwingend erforderlich. In Sonderfällen (z. B. Pille Danach muss aus medizinischen Gründen verweigert werden) empfiehlt sich </w:t>
      </w:r>
      <w:r w:rsidR="0064623C">
        <w:rPr>
          <w:lang w:val="de-DE"/>
        </w:rPr>
        <w:t xml:space="preserve">jedoch </w:t>
      </w:r>
      <w:r>
        <w:rPr>
          <w:lang w:val="de-DE"/>
        </w:rPr>
        <w:t>eine Dokumentation.</w:t>
      </w:r>
    </w:p>
    <w:p w:rsidR="003C251E" w:rsidRPr="00D22D73" w:rsidRDefault="003C251E" w:rsidP="003C251E">
      <w:pPr>
        <w:rPr>
          <w:sz w:val="4"/>
          <w:szCs w:val="4"/>
          <w:lang w:val="de-DE"/>
        </w:rPr>
      </w:pPr>
    </w:p>
    <w:p w:rsidR="003C251E" w:rsidRPr="007A36C7" w:rsidRDefault="003C251E" w:rsidP="003C251E">
      <w:pPr>
        <w:rPr>
          <w:b/>
          <w:lang w:val="de-DE"/>
        </w:rPr>
      </w:pPr>
      <w:r w:rsidRPr="007A36C7">
        <w:rPr>
          <w:b/>
          <w:lang w:val="de-DE"/>
        </w:rPr>
        <w:t>Datenschutzbestimmungen</w:t>
      </w:r>
    </w:p>
    <w:p w:rsidR="003C251E" w:rsidRDefault="0064623C" w:rsidP="003C251E">
      <w:pPr>
        <w:rPr>
          <w:lang w:val="de-DE"/>
        </w:rPr>
      </w:pPr>
      <w:r>
        <w:rPr>
          <w:lang w:val="de-DE"/>
        </w:rPr>
        <w:t>Bei einer jung erscheinenden Kundin ist die Altersangabe</w:t>
      </w:r>
      <w:r w:rsidR="003C251E">
        <w:rPr>
          <w:lang w:val="de-DE"/>
        </w:rPr>
        <w:t xml:space="preserve"> laut Selbstauskunft herauszufinden. Zur Überprüfung können Sie sich Dokumente (Pass, Schülerausweis, etc.) vorzeige</w:t>
      </w:r>
      <w:r w:rsidR="00CB440E">
        <w:rPr>
          <w:lang w:val="de-DE"/>
        </w:rPr>
        <w:t>n lassen. Diese Dokumente sollten</w:t>
      </w:r>
      <w:r w:rsidR="003C251E">
        <w:rPr>
          <w:lang w:val="de-DE"/>
        </w:rPr>
        <w:t xml:space="preserve"> keinesfalls fotokopiert und dokumentiert werden, um einen Verstoß gegen das Datenschutzgesetz zu vermeiden. Gleiches gilt für die Überprüfung der Unterschrift der Kundin: Lassen Sie sich die Dokumentation zum Beratungsgespräch von </w:t>
      </w:r>
      <w:r w:rsidR="00A36B40">
        <w:rPr>
          <w:lang w:val="de-DE"/>
        </w:rPr>
        <w:t>der Kundin unterzeichnen, sollten</w:t>
      </w:r>
      <w:r w:rsidR="003C251E">
        <w:rPr>
          <w:lang w:val="de-DE"/>
        </w:rPr>
        <w:t xml:space="preserve"> Dokumente zur Kundenidentifizierung keinesfalls fotokopiert und dokumentiert werden.</w:t>
      </w:r>
    </w:p>
    <w:p w:rsidR="003C251E" w:rsidRDefault="003C251E" w:rsidP="003C251E">
      <w:pPr>
        <w:rPr>
          <w:lang w:val="de-DE"/>
        </w:rPr>
      </w:pPr>
      <w:r>
        <w:rPr>
          <w:lang w:val="de-DE"/>
        </w:rPr>
        <w:t xml:space="preserve">Heften Sie den Kassenbon im Falle einer Dokumentation an das Beratungsprotokoll. Dies ermöglicht Ihnen das Zuordnen bei Rückfragen. </w:t>
      </w:r>
    </w:p>
    <w:p w:rsidR="003C251E" w:rsidRPr="00D22D73" w:rsidRDefault="003C251E" w:rsidP="003C251E">
      <w:pPr>
        <w:rPr>
          <w:sz w:val="4"/>
          <w:szCs w:val="4"/>
          <w:lang w:val="de-DE"/>
        </w:rPr>
      </w:pPr>
    </w:p>
    <w:p w:rsidR="003C251E" w:rsidRPr="007A36C7" w:rsidRDefault="003C251E" w:rsidP="003C251E">
      <w:pPr>
        <w:rPr>
          <w:b/>
          <w:lang w:val="de-DE"/>
        </w:rPr>
      </w:pPr>
      <w:r w:rsidRPr="007A36C7">
        <w:rPr>
          <w:b/>
          <w:lang w:val="de-DE"/>
        </w:rPr>
        <w:t>Verschwiegenheitspflicht</w:t>
      </w:r>
    </w:p>
    <w:p w:rsidR="003C251E" w:rsidRDefault="003C251E" w:rsidP="003C251E">
      <w:pPr>
        <w:rPr>
          <w:lang w:val="de-DE"/>
        </w:rPr>
      </w:pPr>
      <w:r>
        <w:rPr>
          <w:lang w:val="de-DE"/>
        </w:rPr>
        <w:t xml:space="preserve">Das Recht auf Verschwiegenheit gilt für alle Kunden, insbesondere </w:t>
      </w:r>
      <w:r w:rsidR="009042E7">
        <w:rPr>
          <w:lang w:val="de-DE"/>
        </w:rPr>
        <w:t xml:space="preserve">für </w:t>
      </w:r>
      <w:r>
        <w:rPr>
          <w:lang w:val="de-DE"/>
        </w:rPr>
        <w:t xml:space="preserve">Minderjährige. </w:t>
      </w:r>
      <w:r w:rsidRPr="009042E7">
        <w:rPr>
          <w:lang w:val="de-DE"/>
        </w:rPr>
        <w:t>Die Untergrenze liegt allerdings bei 14 Jahren.</w:t>
      </w:r>
    </w:p>
    <w:p w:rsidR="00AF233E" w:rsidRPr="00AF233E" w:rsidRDefault="00AF233E" w:rsidP="003C251E">
      <w:pPr>
        <w:rPr>
          <w:b/>
          <w:sz w:val="4"/>
          <w:szCs w:val="4"/>
          <w:lang w:val="de-DE"/>
        </w:rPr>
      </w:pPr>
    </w:p>
    <w:p w:rsidR="00AF233E" w:rsidRDefault="00AF233E" w:rsidP="003C251E">
      <w:pPr>
        <w:rPr>
          <w:b/>
          <w:lang w:val="de-DE"/>
        </w:rPr>
      </w:pPr>
      <w:r>
        <w:rPr>
          <w:b/>
          <w:lang w:val="de-DE"/>
        </w:rPr>
        <w:lastRenderedPageBreak/>
        <w:t>Diskretion</w:t>
      </w:r>
    </w:p>
    <w:p w:rsidR="00AF233E" w:rsidRPr="00AF233E" w:rsidRDefault="00AF233E" w:rsidP="003C251E">
      <w:pPr>
        <w:rPr>
          <w:lang w:val="de-DE"/>
        </w:rPr>
      </w:pPr>
      <w:r w:rsidRPr="00AF233E">
        <w:rPr>
          <w:lang w:val="de-DE"/>
        </w:rPr>
        <w:t>Gemäß § 4 Abs. 2a ApBetrO muss die Vertraulichkeit der Beratung gewahrt werden, so dass das Mithören des Beratungsgesprächs durch andere Kunden weitestgehend verhindert wird. Für das Beratungsgespräch zur Pille Danach ist zu empfehlen, der Kundin die Diskretionszone anzubieten. Versuchen Sie auch im Notdienst die Diskretion so gut wie möglich zu wahren.</w:t>
      </w:r>
    </w:p>
    <w:p w:rsidR="00A36B40" w:rsidRPr="00D831DD" w:rsidRDefault="00A36B40" w:rsidP="003C251E">
      <w:pPr>
        <w:rPr>
          <w:b/>
          <w:sz w:val="4"/>
          <w:szCs w:val="4"/>
          <w:lang w:val="de-DE"/>
        </w:rPr>
      </w:pPr>
    </w:p>
    <w:p w:rsidR="003C251E" w:rsidRPr="007A36C7" w:rsidRDefault="003C251E" w:rsidP="003C251E">
      <w:pPr>
        <w:rPr>
          <w:b/>
          <w:lang w:val="de-DE"/>
        </w:rPr>
      </w:pPr>
      <w:r>
        <w:rPr>
          <w:b/>
          <w:lang w:val="de-DE"/>
        </w:rPr>
        <w:t>Abgabe</w:t>
      </w:r>
      <w:r w:rsidRPr="007A36C7">
        <w:rPr>
          <w:b/>
          <w:lang w:val="de-DE"/>
        </w:rPr>
        <w:t xml:space="preserve"> an Minderjährige</w:t>
      </w:r>
    </w:p>
    <w:p w:rsidR="003C251E" w:rsidRDefault="003C251E" w:rsidP="003C251E">
      <w:pPr>
        <w:rPr>
          <w:lang w:val="de-DE"/>
        </w:rPr>
      </w:pPr>
      <w:r>
        <w:rPr>
          <w:lang w:val="de-DE"/>
        </w:rPr>
        <w:t>Entsprechend Zulassung der Pillen Danach gibt es keine Altersgrenze. Die Pille Danach ist für alle Frauen im gebärfähigen Alter zugelassen. Zu beachten ist, dass an Mädchen unter 14 Jahren ohne Einverständnis eines Erziehungsberechtigten keine Medikamente abgegeben werden dürfen. In diesem Fall empfiehlt sich ein Arztverweis.</w:t>
      </w:r>
    </w:p>
    <w:p w:rsidR="003C251E" w:rsidRPr="00D22D73" w:rsidRDefault="003C251E" w:rsidP="003C251E">
      <w:pPr>
        <w:rPr>
          <w:sz w:val="4"/>
          <w:szCs w:val="4"/>
          <w:lang w:val="de-DE"/>
        </w:rPr>
      </w:pPr>
    </w:p>
    <w:p w:rsidR="003C251E" w:rsidRPr="007A36C7" w:rsidRDefault="003C251E" w:rsidP="003C251E">
      <w:pPr>
        <w:rPr>
          <w:b/>
          <w:lang w:val="de-DE"/>
        </w:rPr>
      </w:pPr>
      <w:r w:rsidRPr="007A36C7">
        <w:rPr>
          <w:b/>
          <w:lang w:val="de-DE"/>
        </w:rPr>
        <w:t>Erstattung</w:t>
      </w:r>
    </w:p>
    <w:p w:rsidR="003C251E" w:rsidRDefault="00A36B40" w:rsidP="003C251E">
      <w:pPr>
        <w:rPr>
          <w:lang w:val="de-DE"/>
        </w:rPr>
      </w:pPr>
      <w:r>
        <w:rPr>
          <w:lang w:val="de-DE"/>
        </w:rPr>
        <w:t>Die Pille Dan</w:t>
      </w:r>
      <w:r w:rsidR="003C251E">
        <w:rPr>
          <w:lang w:val="de-DE"/>
        </w:rPr>
        <w:t xml:space="preserve">ach ist auch als OTC-Produkt </w:t>
      </w:r>
      <w:r w:rsidR="003C251E" w:rsidRPr="0064623C">
        <w:rPr>
          <w:b/>
          <w:lang w:val="de-DE"/>
        </w:rPr>
        <w:t>erstattungsfähig</w:t>
      </w:r>
      <w:r w:rsidR="003C251E">
        <w:rPr>
          <w:lang w:val="de-DE"/>
        </w:rPr>
        <w:t xml:space="preserve"> (siehe </w:t>
      </w:r>
      <w:r w:rsidR="003C251E" w:rsidRPr="00E10075">
        <w:rPr>
          <w:lang w:val="de-DE"/>
        </w:rPr>
        <w:t>Änderung des § 24a des Sozialgesetzbuch V (SGB V)</w:t>
      </w:r>
      <w:r w:rsidR="003C251E">
        <w:rPr>
          <w:lang w:val="de-DE"/>
        </w:rPr>
        <w:t>). Erforderlich ist hierfür</w:t>
      </w:r>
      <w:r w:rsidR="0064623C">
        <w:rPr>
          <w:lang w:val="de-DE"/>
        </w:rPr>
        <w:t xml:space="preserve"> ein vom Arzt ausgestelltes </w:t>
      </w:r>
      <w:r w:rsidR="003C251E">
        <w:rPr>
          <w:lang w:val="de-DE"/>
        </w:rPr>
        <w:t>Rezept. Frauen unter 20 Jahren bekommen mit einem GKV-Rezept die Pille Danach erstattet.</w:t>
      </w:r>
      <w:r w:rsidR="0064623C">
        <w:rPr>
          <w:lang w:val="de-DE"/>
        </w:rPr>
        <w:t xml:space="preserve"> Ein PKV-Rezept kann </w:t>
      </w:r>
      <w:r w:rsidR="00E83057">
        <w:rPr>
          <w:lang w:val="de-DE"/>
        </w:rPr>
        <w:t xml:space="preserve">von unter 20-Jährigen </w:t>
      </w:r>
      <w:r w:rsidR="0064623C">
        <w:rPr>
          <w:lang w:val="de-DE"/>
        </w:rPr>
        <w:t>bei der Krankenkasse zur Erstattung eingereicht werden.</w:t>
      </w:r>
      <w:r w:rsidR="003C251E">
        <w:rPr>
          <w:lang w:val="de-DE"/>
        </w:rPr>
        <w:t xml:space="preserve"> Frauen zwischen 18-20 Jahren müssen 5 € Rezeptgebühr zuzahlen.</w:t>
      </w:r>
    </w:p>
    <w:p w:rsidR="003C251E" w:rsidRPr="00D22D73" w:rsidRDefault="003C251E" w:rsidP="003C251E">
      <w:pPr>
        <w:rPr>
          <w:sz w:val="4"/>
          <w:szCs w:val="4"/>
          <w:lang w:val="de-DE"/>
        </w:rPr>
      </w:pPr>
    </w:p>
    <w:p w:rsidR="003C251E" w:rsidRPr="007A36C7" w:rsidRDefault="003C251E" w:rsidP="003C251E">
      <w:pPr>
        <w:rPr>
          <w:b/>
          <w:lang w:val="de-DE"/>
        </w:rPr>
      </w:pPr>
      <w:r w:rsidRPr="007A36C7">
        <w:rPr>
          <w:b/>
          <w:lang w:val="de-DE"/>
        </w:rPr>
        <w:t>Haftung</w:t>
      </w:r>
    </w:p>
    <w:p w:rsidR="003C251E" w:rsidRDefault="003C251E" w:rsidP="003C251E">
      <w:pPr>
        <w:rPr>
          <w:lang w:val="de-DE"/>
        </w:rPr>
      </w:pPr>
      <w:r>
        <w:rPr>
          <w:lang w:val="de-DE"/>
        </w:rPr>
        <w:t xml:space="preserve">Es gelten die gleichen Haftungsbestimmungen wie bei jedem anderen OTC-Präparat. Mit einem vollständig durchgeführten Beratungsgespräch (siehe </w:t>
      </w:r>
      <w:r w:rsidR="00A36B40">
        <w:rPr>
          <w:lang w:val="de-DE"/>
        </w:rPr>
        <w:t xml:space="preserve">Anlage 1: </w:t>
      </w:r>
      <w:r>
        <w:rPr>
          <w:lang w:val="de-DE"/>
        </w:rPr>
        <w:t>Checkliste</w:t>
      </w:r>
      <w:r w:rsidR="00A36B40">
        <w:rPr>
          <w:lang w:val="de-DE"/>
        </w:rPr>
        <w:t xml:space="preserve"> für das Beratungsgespräch zur Pille Danach</w:t>
      </w:r>
      <w:r>
        <w:rPr>
          <w:lang w:val="de-DE"/>
        </w:rPr>
        <w:t>) sind Sie auf der sicheren Seite. Geben Sie Ihrer Kundin Informat</w:t>
      </w:r>
      <w:r w:rsidR="00A36B40">
        <w:rPr>
          <w:lang w:val="de-DE"/>
        </w:rPr>
        <w:t>ionszettel zur Pille Danach mit (Anlage 4 und 5</w:t>
      </w:r>
      <w:r>
        <w:rPr>
          <w:lang w:val="de-DE"/>
        </w:rPr>
        <w:t>:</w:t>
      </w:r>
      <w:r w:rsidR="00A36B40">
        <w:rPr>
          <w:lang w:val="de-DE"/>
        </w:rPr>
        <w:t xml:space="preserve"> Patienteninformationen zur Pille Danach deutsch und fremdsprachig).</w:t>
      </w:r>
    </w:p>
    <w:p w:rsidR="003C251E" w:rsidRPr="00D22D73" w:rsidRDefault="003C251E" w:rsidP="003C251E">
      <w:pPr>
        <w:rPr>
          <w:sz w:val="4"/>
          <w:szCs w:val="4"/>
          <w:lang w:val="de-DE"/>
        </w:rPr>
      </w:pPr>
    </w:p>
    <w:p w:rsidR="003C251E" w:rsidRPr="007A36C7" w:rsidRDefault="003C251E" w:rsidP="003C251E">
      <w:pPr>
        <w:rPr>
          <w:b/>
          <w:lang w:val="de-DE"/>
        </w:rPr>
      </w:pPr>
      <w:r w:rsidRPr="007A36C7">
        <w:rPr>
          <w:b/>
          <w:lang w:val="de-DE"/>
        </w:rPr>
        <w:t>Abgabe auf Vorrat</w:t>
      </w:r>
    </w:p>
    <w:p w:rsidR="003C251E" w:rsidRDefault="003C251E" w:rsidP="003C251E">
      <w:pPr>
        <w:rPr>
          <w:lang w:val="de-DE"/>
        </w:rPr>
      </w:pPr>
      <w:r>
        <w:rPr>
          <w:lang w:val="de-DE"/>
        </w:rPr>
        <w:t>Die Pille Danach ist ein Medikament für die Notsituation ungeschützter Geschlechtsverkehr und sollte nur in diesem Falle abgegeben werden. Dies schließt eine Abgabe auf Vorrat aus.</w:t>
      </w:r>
    </w:p>
    <w:p w:rsidR="003C251E" w:rsidRPr="00D22D73" w:rsidRDefault="003C251E" w:rsidP="003C251E">
      <w:pPr>
        <w:rPr>
          <w:sz w:val="4"/>
          <w:szCs w:val="4"/>
          <w:lang w:val="de-DE"/>
        </w:rPr>
      </w:pPr>
    </w:p>
    <w:p w:rsidR="003C251E" w:rsidRPr="007A36C7" w:rsidRDefault="003C251E" w:rsidP="003C251E">
      <w:pPr>
        <w:rPr>
          <w:b/>
          <w:lang w:val="de-DE"/>
        </w:rPr>
      </w:pPr>
      <w:r w:rsidRPr="007A36C7">
        <w:rPr>
          <w:b/>
          <w:lang w:val="de-DE"/>
        </w:rPr>
        <w:t>Mehrfachabgabe</w:t>
      </w:r>
    </w:p>
    <w:p w:rsidR="003C251E" w:rsidRDefault="003C251E" w:rsidP="003C251E">
      <w:pPr>
        <w:rPr>
          <w:lang w:val="de-DE"/>
        </w:rPr>
      </w:pPr>
      <w:r>
        <w:rPr>
          <w:lang w:val="de-DE"/>
        </w:rPr>
        <w:t xml:space="preserve">Eine Mehrfachabgabe kann in Einzelsituationen erforderlich sein. Hierbei </w:t>
      </w:r>
      <w:r w:rsidR="0064623C">
        <w:rPr>
          <w:lang w:val="de-DE"/>
        </w:rPr>
        <w:t>empfiehlt sich</w:t>
      </w:r>
      <w:r>
        <w:rPr>
          <w:lang w:val="de-DE"/>
        </w:rPr>
        <w:t xml:space="preserve"> der Verweis auf die Gynäkologin/den Gynäkologen zu geben, um über reguläre Verhütungsmethoden aufzuklären. Reguläre Verhütungsmethoden bieten einen wesentlich höheren Schutz vor einer ungewollten Schwangerschaft als die Pille Danach.</w:t>
      </w:r>
    </w:p>
    <w:p w:rsidR="003C251E" w:rsidRPr="00D22D73" w:rsidRDefault="003C251E" w:rsidP="003C251E">
      <w:pPr>
        <w:rPr>
          <w:sz w:val="4"/>
          <w:szCs w:val="4"/>
          <w:lang w:val="de-DE"/>
        </w:rPr>
      </w:pPr>
    </w:p>
    <w:p w:rsidR="003C251E" w:rsidRPr="007A36C7" w:rsidRDefault="003C251E" w:rsidP="003C251E">
      <w:pPr>
        <w:rPr>
          <w:b/>
          <w:lang w:val="de-DE"/>
        </w:rPr>
      </w:pPr>
      <w:r w:rsidRPr="007A36C7">
        <w:rPr>
          <w:b/>
          <w:lang w:val="de-DE"/>
        </w:rPr>
        <w:t>Abgabe an Dritte</w:t>
      </w:r>
    </w:p>
    <w:p w:rsidR="003C251E" w:rsidRDefault="003C251E" w:rsidP="003C251E">
      <w:pPr>
        <w:rPr>
          <w:lang w:val="de-DE"/>
        </w:rPr>
      </w:pPr>
      <w:r>
        <w:rPr>
          <w:lang w:val="de-DE"/>
        </w:rPr>
        <w:t>Eine Abgabe an Dritte kann in Einzelfällen möglich sein, wenn die Person alle für das Beratungsgespräch erforderlichen Fragen beantworten kann. Zur Erleichterung des Beratungsgespräches kann die Betroffene persönlich angerufen werden.</w:t>
      </w:r>
    </w:p>
    <w:p w:rsidR="003C251E" w:rsidRDefault="003C251E" w:rsidP="003C251E">
      <w:pPr>
        <w:rPr>
          <w:sz w:val="4"/>
          <w:szCs w:val="4"/>
          <w:lang w:val="de-DE"/>
        </w:rPr>
      </w:pPr>
    </w:p>
    <w:p w:rsidR="00E83057" w:rsidRPr="00D22D73" w:rsidRDefault="00E83057" w:rsidP="003C251E">
      <w:pPr>
        <w:rPr>
          <w:sz w:val="4"/>
          <w:szCs w:val="4"/>
          <w:lang w:val="de-DE"/>
        </w:rPr>
      </w:pPr>
      <w:bookmarkStart w:id="0" w:name="_GoBack"/>
      <w:bookmarkEnd w:id="0"/>
    </w:p>
    <w:p w:rsidR="003C251E" w:rsidRPr="0026447A" w:rsidRDefault="003C251E" w:rsidP="003C251E">
      <w:pPr>
        <w:rPr>
          <w:b/>
          <w:lang w:val="de-DE"/>
        </w:rPr>
      </w:pPr>
      <w:r w:rsidRPr="0026447A">
        <w:rPr>
          <w:b/>
          <w:lang w:val="de-DE"/>
        </w:rPr>
        <w:lastRenderedPageBreak/>
        <w:t>Verweigerung der Abgabe</w:t>
      </w:r>
    </w:p>
    <w:p w:rsidR="003C251E" w:rsidRDefault="003C251E" w:rsidP="003C251E">
      <w:pPr>
        <w:rPr>
          <w:lang w:val="de-DE"/>
        </w:rPr>
      </w:pPr>
      <w:r>
        <w:rPr>
          <w:lang w:val="de-DE"/>
        </w:rPr>
        <w:t>Es besteht kein Zwang zur Abgabe der Pille Danach. Die Abgabe der Pille Danach kann verweigert werden, z. B. aus medizinischen Gründen oder falls nicht alle für das Beratungsgespräch notwendigen Fragen geklärt werden können. Es empfiehlt sich den Verweigerungsgrund zu dokumentieren. Auf jeden</w:t>
      </w:r>
      <w:r w:rsidR="00A36B40">
        <w:rPr>
          <w:lang w:val="de-DE"/>
        </w:rPr>
        <w:t xml:space="preserve"> Fall</w:t>
      </w:r>
      <w:r>
        <w:rPr>
          <w:lang w:val="de-DE"/>
        </w:rPr>
        <w:t xml:space="preserve"> muss der Kundin in diesem Falle der Arzthinweis gegeben werden, damit ihr geholfen werden kann. Geben Sie der Kundin den Hinweis schnell zu handeln und entsprechende Adressen und Telefonnummern des betreffenden ärztlichen Dienstes.</w:t>
      </w:r>
    </w:p>
    <w:p w:rsidR="002D6CB9" w:rsidRPr="00BD0CEB" w:rsidRDefault="002D6CB9" w:rsidP="002D6CB9">
      <w:pPr>
        <w:rPr>
          <w:sz w:val="2"/>
          <w:szCs w:val="2"/>
          <w:lang w:val="de-DE"/>
        </w:rPr>
      </w:pPr>
    </w:p>
    <w:p w:rsidR="00A36B40" w:rsidRPr="0064623C" w:rsidRDefault="00A36B40" w:rsidP="00A36B40">
      <w:pPr>
        <w:pBdr>
          <w:top w:val="single" w:sz="4" w:space="1" w:color="auto"/>
          <w:left w:val="single" w:sz="4" w:space="4" w:color="auto"/>
          <w:bottom w:val="single" w:sz="4" w:space="1" w:color="auto"/>
          <w:right w:val="single" w:sz="4" w:space="4" w:color="auto"/>
        </w:pBdr>
        <w:spacing w:line="240" w:lineRule="auto"/>
        <w:rPr>
          <w:b/>
          <w:lang w:val="de-DE"/>
        </w:rPr>
      </w:pPr>
      <w:r w:rsidRPr="0064623C">
        <w:rPr>
          <w:b/>
          <w:lang w:val="de-DE"/>
        </w:rPr>
        <w:t>Anlagen</w:t>
      </w:r>
    </w:p>
    <w:p w:rsidR="00A36B40" w:rsidRPr="0064623C" w:rsidRDefault="00A36B40" w:rsidP="00A36B40">
      <w:pPr>
        <w:pBdr>
          <w:top w:val="single" w:sz="4" w:space="1" w:color="auto"/>
          <w:left w:val="single" w:sz="4" w:space="4" w:color="auto"/>
          <w:bottom w:val="single" w:sz="4" w:space="1" w:color="auto"/>
          <w:right w:val="single" w:sz="4" w:space="4" w:color="auto"/>
        </w:pBdr>
        <w:spacing w:line="240" w:lineRule="auto"/>
        <w:rPr>
          <w:lang w:val="de-DE"/>
        </w:rPr>
      </w:pPr>
      <w:r w:rsidRPr="0064623C">
        <w:rPr>
          <w:lang w:val="de-DE"/>
        </w:rPr>
        <w:t>Anlage 1: Checkliste für das Beratungsgespräch zur Pille Danach</w:t>
      </w:r>
    </w:p>
    <w:p w:rsidR="00A36B40" w:rsidRPr="0064623C" w:rsidRDefault="00A36B40" w:rsidP="00A36B40">
      <w:pPr>
        <w:pBdr>
          <w:top w:val="single" w:sz="4" w:space="1" w:color="auto"/>
          <w:left w:val="single" w:sz="4" w:space="4" w:color="auto"/>
          <w:bottom w:val="single" w:sz="4" w:space="1" w:color="auto"/>
          <w:right w:val="single" w:sz="4" w:space="4" w:color="auto"/>
        </w:pBdr>
        <w:spacing w:line="240" w:lineRule="auto"/>
        <w:rPr>
          <w:lang w:val="de-DE"/>
        </w:rPr>
      </w:pPr>
      <w:r w:rsidRPr="0064623C">
        <w:rPr>
          <w:lang w:val="de-DE"/>
        </w:rPr>
        <w:t>Anlage 2: Praktische Handlungsempfehlungen für das Beratungsgespräch zur Pille Danach</w:t>
      </w:r>
    </w:p>
    <w:p w:rsidR="00A36B40" w:rsidRPr="0064623C" w:rsidRDefault="00A36B40" w:rsidP="00A36B40">
      <w:pPr>
        <w:pBdr>
          <w:top w:val="single" w:sz="4" w:space="1" w:color="auto"/>
          <w:left w:val="single" w:sz="4" w:space="4" w:color="auto"/>
          <w:bottom w:val="single" w:sz="4" w:space="1" w:color="auto"/>
          <w:right w:val="single" w:sz="4" w:space="4" w:color="auto"/>
        </w:pBdr>
        <w:spacing w:line="240" w:lineRule="auto"/>
        <w:rPr>
          <w:lang w:val="de-DE"/>
        </w:rPr>
      </w:pPr>
      <w:r w:rsidRPr="0064623C">
        <w:rPr>
          <w:lang w:val="de-DE"/>
        </w:rPr>
        <w:t>Anlage 3: Notfallverhütung: Wirkstoffe im Vergleich</w:t>
      </w:r>
    </w:p>
    <w:p w:rsidR="00A36B40" w:rsidRPr="0064623C" w:rsidRDefault="00A36B40" w:rsidP="00A36B40">
      <w:pPr>
        <w:pBdr>
          <w:top w:val="single" w:sz="4" w:space="1" w:color="auto"/>
          <w:left w:val="single" w:sz="4" w:space="4" w:color="auto"/>
          <w:bottom w:val="single" w:sz="4" w:space="1" w:color="auto"/>
          <w:right w:val="single" w:sz="4" w:space="4" w:color="auto"/>
        </w:pBdr>
        <w:spacing w:line="240" w:lineRule="auto"/>
        <w:rPr>
          <w:lang w:val="de-DE"/>
        </w:rPr>
      </w:pPr>
      <w:r w:rsidRPr="0064623C">
        <w:rPr>
          <w:lang w:val="de-DE"/>
        </w:rPr>
        <w:t>Anlage 4: Deutsche Patienteninformation zur Pille Danach</w:t>
      </w:r>
    </w:p>
    <w:p w:rsidR="00A36B40" w:rsidRPr="0064623C" w:rsidRDefault="00A36B40" w:rsidP="00A36B40">
      <w:pPr>
        <w:pBdr>
          <w:top w:val="single" w:sz="4" w:space="1" w:color="auto"/>
          <w:left w:val="single" w:sz="4" w:space="4" w:color="auto"/>
          <w:bottom w:val="single" w:sz="4" w:space="1" w:color="auto"/>
          <w:right w:val="single" w:sz="4" w:space="4" w:color="auto"/>
        </w:pBdr>
        <w:spacing w:line="240" w:lineRule="auto"/>
        <w:rPr>
          <w:lang w:val="de-DE"/>
        </w:rPr>
      </w:pPr>
      <w:r w:rsidRPr="0064623C">
        <w:rPr>
          <w:lang w:val="de-DE"/>
        </w:rPr>
        <w:t>Anlage 5: Fremdsprachige Patienteninformation zur Pille Danach</w:t>
      </w:r>
    </w:p>
    <w:sectPr w:rsidR="00A36B40" w:rsidRPr="0064623C" w:rsidSect="0064623C">
      <w:headerReference w:type="even" r:id="rId7"/>
      <w:headerReference w:type="default" r:id="rId8"/>
      <w:headerReference w:type="first" r:id="rId9"/>
      <w:pgSz w:w="11906" w:h="16838"/>
      <w:pgMar w:top="1560" w:right="991" w:bottom="1560" w:left="85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50" w:rsidRDefault="00133550" w:rsidP="00105FF0">
      <w:pPr>
        <w:spacing w:after="0" w:line="240" w:lineRule="auto"/>
      </w:pPr>
      <w:r>
        <w:separator/>
      </w:r>
    </w:p>
  </w:endnote>
  <w:endnote w:type="continuationSeparator" w:id="0">
    <w:p w:rsidR="00133550" w:rsidRDefault="00133550" w:rsidP="0010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50" w:rsidRDefault="00133550" w:rsidP="00105FF0">
      <w:pPr>
        <w:spacing w:after="0" w:line="240" w:lineRule="auto"/>
      </w:pPr>
      <w:r>
        <w:separator/>
      </w:r>
    </w:p>
  </w:footnote>
  <w:footnote w:type="continuationSeparator" w:id="0">
    <w:p w:rsidR="00133550" w:rsidRDefault="00133550" w:rsidP="00105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24" w:type="dxa"/>
      <w:tblInd w:w="-5" w:type="dxa"/>
      <w:tblLook w:val="04A0" w:firstRow="1" w:lastRow="0" w:firstColumn="1" w:lastColumn="0" w:noHBand="0" w:noVBand="1"/>
    </w:tblPr>
    <w:tblGrid>
      <w:gridCol w:w="2879"/>
      <w:gridCol w:w="3021"/>
      <w:gridCol w:w="4024"/>
    </w:tblGrid>
    <w:tr w:rsidR="00105FF0" w:rsidRPr="00CE1011" w:rsidTr="00AA7F18">
      <w:trPr>
        <w:trHeight w:val="558"/>
      </w:trPr>
      <w:tc>
        <w:tcPr>
          <w:tcW w:w="2879" w:type="dxa"/>
          <w:vMerge w:val="restart"/>
        </w:tcPr>
        <w:p w:rsidR="00105FF0" w:rsidRPr="00CE1011" w:rsidRDefault="00105FF0" w:rsidP="00105FF0">
          <w:pPr>
            <w:pStyle w:val="Kopfzeile"/>
            <w:rPr>
              <w:b/>
              <w:lang w:val="de-DE"/>
            </w:rPr>
          </w:pPr>
          <w:r w:rsidRPr="00CE1011">
            <w:rPr>
              <w:b/>
              <w:lang w:val="de-DE"/>
            </w:rPr>
            <w:t>QM-Handbuch</w:t>
          </w:r>
        </w:p>
        <w:p w:rsidR="00105FF0" w:rsidRPr="00CE1011" w:rsidRDefault="00105FF0" w:rsidP="00105FF0">
          <w:pPr>
            <w:pStyle w:val="Kopfzeile"/>
            <w:rPr>
              <w:b/>
              <w:lang w:val="de-DE"/>
            </w:rPr>
          </w:pPr>
          <w:r w:rsidRPr="00CE1011">
            <w:rPr>
              <w:b/>
              <w:lang w:val="de-DE"/>
            </w:rPr>
            <w:t>Beispiel-Apotheke</w:t>
          </w:r>
        </w:p>
        <w:p w:rsidR="00105FF0" w:rsidRPr="00CE1011" w:rsidRDefault="00105FF0" w:rsidP="00105FF0">
          <w:pPr>
            <w:pStyle w:val="Kopfzeile"/>
            <w:rPr>
              <w:lang w:val="de-DE"/>
            </w:rPr>
          </w:pPr>
          <w:r w:rsidRPr="00CE1011">
            <w:rPr>
              <w:b/>
              <w:lang w:val="de-DE"/>
            </w:rPr>
            <w:t>00000 Beispielstadt</w:t>
          </w:r>
        </w:p>
      </w:tc>
      <w:tc>
        <w:tcPr>
          <w:tcW w:w="3021" w:type="dxa"/>
        </w:tcPr>
        <w:p w:rsidR="00105FF0" w:rsidRPr="00105FF0" w:rsidRDefault="00105FF0" w:rsidP="00105FF0">
          <w:pPr>
            <w:pStyle w:val="Kopfzeile"/>
            <w:rPr>
              <w:b/>
              <w:sz w:val="32"/>
              <w:lang w:val="de-DE"/>
            </w:rPr>
          </w:pPr>
          <w:r w:rsidRPr="00CE1011">
            <w:rPr>
              <w:b/>
              <w:sz w:val="32"/>
              <w:lang w:val="de-DE"/>
            </w:rPr>
            <w:t xml:space="preserve">Prozess </w:t>
          </w:r>
          <w:proofErr w:type="spellStart"/>
          <w:r w:rsidRPr="00CE1011">
            <w:rPr>
              <w:b/>
              <w:sz w:val="32"/>
              <w:lang w:val="de-DE"/>
            </w:rPr>
            <w:t>xy</w:t>
          </w:r>
          <w:proofErr w:type="spellEnd"/>
        </w:p>
      </w:tc>
      <w:tc>
        <w:tcPr>
          <w:tcW w:w="4024" w:type="dxa"/>
        </w:tcPr>
        <w:p w:rsidR="00105FF0" w:rsidRPr="00CE1011" w:rsidRDefault="00105FF0" w:rsidP="00105FF0">
          <w:pPr>
            <w:pStyle w:val="Kopfzeile"/>
            <w:rPr>
              <w:b/>
              <w:lang w:val="de-DE"/>
            </w:rPr>
          </w:pPr>
          <w:r w:rsidRPr="00CE1011">
            <w:rPr>
              <w:b/>
              <w:lang w:val="de-DE"/>
            </w:rPr>
            <w:t>Freigegeben am:</w:t>
          </w:r>
        </w:p>
      </w:tc>
    </w:tr>
    <w:tr w:rsidR="00105FF0" w:rsidRPr="00CE1011" w:rsidTr="00AA7F18">
      <w:trPr>
        <w:trHeight w:val="551"/>
      </w:trPr>
      <w:tc>
        <w:tcPr>
          <w:tcW w:w="2879" w:type="dxa"/>
          <w:vMerge/>
        </w:tcPr>
        <w:p w:rsidR="00105FF0" w:rsidRPr="00CE1011" w:rsidRDefault="00105FF0" w:rsidP="00105FF0">
          <w:pPr>
            <w:pStyle w:val="Kopfzeile"/>
            <w:rPr>
              <w:lang w:val="de-DE"/>
            </w:rPr>
          </w:pPr>
        </w:p>
      </w:tc>
      <w:tc>
        <w:tcPr>
          <w:tcW w:w="3021" w:type="dxa"/>
        </w:tcPr>
        <w:p w:rsidR="00AF233E" w:rsidRDefault="00105FF0" w:rsidP="00AF233E">
          <w:pPr>
            <w:pStyle w:val="Kopfzeile"/>
            <w:tabs>
              <w:tab w:val="clear" w:pos="4536"/>
              <w:tab w:val="clear" w:pos="9072"/>
              <w:tab w:val="center" w:pos="1402"/>
            </w:tabs>
            <w:rPr>
              <w:b/>
              <w:lang w:val="de-DE"/>
            </w:rPr>
          </w:pPr>
          <w:r>
            <w:rPr>
              <w:b/>
              <w:lang w:val="de-DE"/>
            </w:rPr>
            <w:t>Seite 2</w:t>
          </w:r>
          <w:r w:rsidR="0064623C">
            <w:rPr>
              <w:b/>
              <w:lang w:val="de-DE"/>
            </w:rPr>
            <w:t>/3</w:t>
          </w:r>
        </w:p>
        <w:p w:rsidR="00105FF0" w:rsidRPr="00CE1011" w:rsidRDefault="00AF233E" w:rsidP="00AF233E">
          <w:pPr>
            <w:pStyle w:val="Kopfzeile"/>
            <w:tabs>
              <w:tab w:val="clear" w:pos="4536"/>
              <w:tab w:val="clear" w:pos="9072"/>
              <w:tab w:val="center" w:pos="1402"/>
            </w:tabs>
            <w:rPr>
              <w:b/>
              <w:lang w:val="de-DE"/>
            </w:rPr>
          </w:pPr>
          <w:r>
            <w:rPr>
              <w:b/>
              <w:lang w:val="de-DE"/>
            </w:rPr>
            <w:t>Version 1</w:t>
          </w:r>
          <w:r>
            <w:rPr>
              <w:b/>
              <w:lang w:val="de-DE"/>
            </w:rPr>
            <w:tab/>
          </w:r>
        </w:p>
      </w:tc>
      <w:tc>
        <w:tcPr>
          <w:tcW w:w="4024" w:type="dxa"/>
        </w:tcPr>
        <w:p w:rsidR="00105FF0" w:rsidRPr="00CE1011" w:rsidRDefault="00105FF0" w:rsidP="00105FF0">
          <w:pPr>
            <w:pStyle w:val="Kopfzeile"/>
            <w:rPr>
              <w:b/>
              <w:lang w:val="de-DE"/>
            </w:rPr>
          </w:pPr>
          <w:r w:rsidRPr="00CE1011">
            <w:rPr>
              <w:b/>
              <w:lang w:val="de-DE"/>
            </w:rPr>
            <w:t>Freigegeben durch:</w:t>
          </w:r>
        </w:p>
      </w:tc>
    </w:tr>
  </w:tbl>
  <w:p w:rsidR="00105FF0" w:rsidRDefault="00105F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24" w:type="dxa"/>
      <w:tblInd w:w="-5" w:type="dxa"/>
      <w:tblLook w:val="04A0" w:firstRow="1" w:lastRow="0" w:firstColumn="1" w:lastColumn="0" w:noHBand="0" w:noVBand="1"/>
    </w:tblPr>
    <w:tblGrid>
      <w:gridCol w:w="2879"/>
      <w:gridCol w:w="3021"/>
      <w:gridCol w:w="4024"/>
    </w:tblGrid>
    <w:tr w:rsidR="00105FF0" w:rsidRPr="00CE1011" w:rsidTr="00105FF0">
      <w:trPr>
        <w:trHeight w:val="558"/>
      </w:trPr>
      <w:tc>
        <w:tcPr>
          <w:tcW w:w="2879" w:type="dxa"/>
          <w:vMerge w:val="restart"/>
        </w:tcPr>
        <w:p w:rsidR="00105FF0" w:rsidRPr="00CE1011" w:rsidRDefault="00105FF0" w:rsidP="00105FF0">
          <w:pPr>
            <w:pStyle w:val="Kopfzeile"/>
            <w:rPr>
              <w:b/>
              <w:lang w:val="de-DE"/>
            </w:rPr>
          </w:pPr>
          <w:r w:rsidRPr="00CE1011">
            <w:rPr>
              <w:b/>
              <w:lang w:val="de-DE"/>
            </w:rPr>
            <w:t>QM-Handbuch</w:t>
          </w:r>
        </w:p>
        <w:p w:rsidR="00105FF0" w:rsidRPr="00CE1011" w:rsidRDefault="00105FF0" w:rsidP="00105FF0">
          <w:pPr>
            <w:pStyle w:val="Kopfzeile"/>
            <w:rPr>
              <w:b/>
              <w:lang w:val="de-DE"/>
            </w:rPr>
          </w:pPr>
          <w:r w:rsidRPr="00CE1011">
            <w:rPr>
              <w:b/>
              <w:lang w:val="de-DE"/>
            </w:rPr>
            <w:t>Beispiel-Apotheke</w:t>
          </w:r>
        </w:p>
        <w:p w:rsidR="00105FF0" w:rsidRPr="00CE1011" w:rsidRDefault="00105FF0" w:rsidP="00105FF0">
          <w:pPr>
            <w:pStyle w:val="Kopfzeile"/>
            <w:rPr>
              <w:lang w:val="de-DE"/>
            </w:rPr>
          </w:pPr>
          <w:r w:rsidRPr="00CE1011">
            <w:rPr>
              <w:b/>
              <w:lang w:val="de-DE"/>
            </w:rPr>
            <w:t>00000 Beispielstadt</w:t>
          </w:r>
        </w:p>
      </w:tc>
      <w:tc>
        <w:tcPr>
          <w:tcW w:w="3021" w:type="dxa"/>
        </w:tcPr>
        <w:p w:rsidR="00105FF0" w:rsidRPr="00105FF0" w:rsidRDefault="00105FF0" w:rsidP="00105FF0">
          <w:pPr>
            <w:pStyle w:val="Kopfzeile"/>
            <w:rPr>
              <w:b/>
              <w:sz w:val="32"/>
              <w:lang w:val="de-DE"/>
            </w:rPr>
          </w:pPr>
          <w:r w:rsidRPr="00CE1011">
            <w:rPr>
              <w:b/>
              <w:sz w:val="32"/>
              <w:lang w:val="de-DE"/>
            </w:rPr>
            <w:t xml:space="preserve">Prozess </w:t>
          </w:r>
          <w:proofErr w:type="spellStart"/>
          <w:r w:rsidRPr="00CE1011">
            <w:rPr>
              <w:b/>
              <w:sz w:val="32"/>
              <w:lang w:val="de-DE"/>
            </w:rPr>
            <w:t>xy</w:t>
          </w:r>
          <w:proofErr w:type="spellEnd"/>
        </w:p>
      </w:tc>
      <w:tc>
        <w:tcPr>
          <w:tcW w:w="4024" w:type="dxa"/>
        </w:tcPr>
        <w:p w:rsidR="00105FF0" w:rsidRPr="00CE1011" w:rsidRDefault="00105FF0" w:rsidP="00105FF0">
          <w:pPr>
            <w:pStyle w:val="Kopfzeile"/>
            <w:rPr>
              <w:b/>
              <w:lang w:val="de-DE"/>
            </w:rPr>
          </w:pPr>
          <w:r w:rsidRPr="00CE1011">
            <w:rPr>
              <w:b/>
              <w:lang w:val="de-DE"/>
            </w:rPr>
            <w:t>Freigegeben am:</w:t>
          </w:r>
        </w:p>
      </w:tc>
    </w:tr>
    <w:tr w:rsidR="00105FF0" w:rsidRPr="00CE1011" w:rsidTr="00105FF0">
      <w:trPr>
        <w:trHeight w:val="551"/>
      </w:trPr>
      <w:tc>
        <w:tcPr>
          <w:tcW w:w="2879" w:type="dxa"/>
          <w:vMerge/>
        </w:tcPr>
        <w:p w:rsidR="00105FF0" w:rsidRPr="00CE1011" w:rsidRDefault="00105FF0" w:rsidP="00105FF0">
          <w:pPr>
            <w:pStyle w:val="Kopfzeile"/>
            <w:rPr>
              <w:lang w:val="de-DE"/>
            </w:rPr>
          </w:pPr>
        </w:p>
      </w:tc>
      <w:tc>
        <w:tcPr>
          <w:tcW w:w="3021" w:type="dxa"/>
        </w:tcPr>
        <w:p w:rsidR="00105FF0" w:rsidRDefault="00105FF0" w:rsidP="00105FF0">
          <w:pPr>
            <w:pStyle w:val="Kopfzeile"/>
            <w:rPr>
              <w:b/>
              <w:lang w:val="de-DE"/>
            </w:rPr>
          </w:pPr>
          <w:r w:rsidRPr="00CE1011">
            <w:rPr>
              <w:b/>
              <w:lang w:val="de-DE"/>
            </w:rPr>
            <w:t>Seite</w:t>
          </w:r>
          <w:r w:rsidR="0064623C">
            <w:rPr>
              <w:b/>
              <w:lang w:val="de-DE"/>
            </w:rPr>
            <w:t xml:space="preserve"> 3/3</w:t>
          </w:r>
        </w:p>
        <w:p w:rsidR="00AF233E" w:rsidRPr="00CE1011" w:rsidRDefault="00AF233E" w:rsidP="00105FF0">
          <w:pPr>
            <w:pStyle w:val="Kopfzeile"/>
            <w:rPr>
              <w:b/>
              <w:lang w:val="de-DE"/>
            </w:rPr>
          </w:pPr>
          <w:r>
            <w:rPr>
              <w:b/>
              <w:lang w:val="de-DE"/>
            </w:rPr>
            <w:t>Version 1</w:t>
          </w:r>
        </w:p>
      </w:tc>
      <w:tc>
        <w:tcPr>
          <w:tcW w:w="4024" w:type="dxa"/>
        </w:tcPr>
        <w:p w:rsidR="00105FF0" w:rsidRPr="00CE1011" w:rsidRDefault="00105FF0" w:rsidP="00105FF0">
          <w:pPr>
            <w:pStyle w:val="Kopfzeile"/>
            <w:rPr>
              <w:b/>
              <w:lang w:val="de-DE"/>
            </w:rPr>
          </w:pPr>
          <w:r w:rsidRPr="00CE1011">
            <w:rPr>
              <w:b/>
              <w:lang w:val="de-DE"/>
            </w:rPr>
            <w:t>Freigegeben durch:</w:t>
          </w:r>
        </w:p>
      </w:tc>
    </w:tr>
  </w:tbl>
  <w:p w:rsidR="00105FF0" w:rsidRPr="00A36B40" w:rsidRDefault="00105FF0">
    <w:pPr>
      <w:pStyle w:val="Kopfzeile"/>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924" w:type="dxa"/>
      <w:tblInd w:w="-5" w:type="dxa"/>
      <w:tblLook w:val="04A0" w:firstRow="1" w:lastRow="0" w:firstColumn="1" w:lastColumn="0" w:noHBand="0" w:noVBand="1"/>
    </w:tblPr>
    <w:tblGrid>
      <w:gridCol w:w="2879"/>
      <w:gridCol w:w="3021"/>
      <w:gridCol w:w="4024"/>
    </w:tblGrid>
    <w:tr w:rsidR="0064623C" w:rsidRPr="00CE1011" w:rsidTr="00AE1DC7">
      <w:trPr>
        <w:trHeight w:val="558"/>
      </w:trPr>
      <w:tc>
        <w:tcPr>
          <w:tcW w:w="2879" w:type="dxa"/>
          <w:vMerge w:val="restart"/>
        </w:tcPr>
        <w:p w:rsidR="0064623C" w:rsidRPr="00CE1011" w:rsidRDefault="0064623C" w:rsidP="0064623C">
          <w:pPr>
            <w:pStyle w:val="Kopfzeile"/>
            <w:rPr>
              <w:b/>
              <w:lang w:val="de-DE"/>
            </w:rPr>
          </w:pPr>
          <w:r w:rsidRPr="00CE1011">
            <w:rPr>
              <w:b/>
              <w:lang w:val="de-DE"/>
            </w:rPr>
            <w:t>QM-Handbuch</w:t>
          </w:r>
        </w:p>
        <w:p w:rsidR="0064623C" w:rsidRPr="00CE1011" w:rsidRDefault="0064623C" w:rsidP="0064623C">
          <w:pPr>
            <w:pStyle w:val="Kopfzeile"/>
            <w:rPr>
              <w:b/>
              <w:lang w:val="de-DE"/>
            </w:rPr>
          </w:pPr>
          <w:r w:rsidRPr="00CE1011">
            <w:rPr>
              <w:b/>
              <w:lang w:val="de-DE"/>
            </w:rPr>
            <w:t>Beispiel-Apotheke</w:t>
          </w:r>
        </w:p>
        <w:p w:rsidR="0064623C" w:rsidRPr="00CE1011" w:rsidRDefault="0064623C" w:rsidP="0064623C">
          <w:pPr>
            <w:pStyle w:val="Kopfzeile"/>
            <w:rPr>
              <w:lang w:val="de-DE"/>
            </w:rPr>
          </w:pPr>
          <w:r w:rsidRPr="00CE1011">
            <w:rPr>
              <w:b/>
              <w:lang w:val="de-DE"/>
            </w:rPr>
            <w:t>00000 Beispielstadt</w:t>
          </w:r>
        </w:p>
      </w:tc>
      <w:tc>
        <w:tcPr>
          <w:tcW w:w="3021" w:type="dxa"/>
        </w:tcPr>
        <w:p w:rsidR="0064623C" w:rsidRPr="00105FF0" w:rsidRDefault="0064623C" w:rsidP="0064623C">
          <w:pPr>
            <w:pStyle w:val="Kopfzeile"/>
            <w:rPr>
              <w:b/>
              <w:sz w:val="32"/>
              <w:lang w:val="de-DE"/>
            </w:rPr>
          </w:pPr>
          <w:r w:rsidRPr="00CE1011">
            <w:rPr>
              <w:b/>
              <w:sz w:val="32"/>
              <w:lang w:val="de-DE"/>
            </w:rPr>
            <w:t xml:space="preserve">Prozess </w:t>
          </w:r>
          <w:proofErr w:type="spellStart"/>
          <w:r w:rsidRPr="00CE1011">
            <w:rPr>
              <w:b/>
              <w:sz w:val="32"/>
              <w:lang w:val="de-DE"/>
            </w:rPr>
            <w:t>xy</w:t>
          </w:r>
          <w:proofErr w:type="spellEnd"/>
        </w:p>
      </w:tc>
      <w:tc>
        <w:tcPr>
          <w:tcW w:w="4024" w:type="dxa"/>
        </w:tcPr>
        <w:p w:rsidR="0064623C" w:rsidRPr="00CE1011" w:rsidRDefault="0064623C" w:rsidP="0064623C">
          <w:pPr>
            <w:pStyle w:val="Kopfzeile"/>
            <w:rPr>
              <w:b/>
              <w:lang w:val="de-DE"/>
            </w:rPr>
          </w:pPr>
          <w:r w:rsidRPr="00CE1011">
            <w:rPr>
              <w:b/>
              <w:lang w:val="de-DE"/>
            </w:rPr>
            <w:t>Freigegeben am:</w:t>
          </w:r>
        </w:p>
      </w:tc>
    </w:tr>
    <w:tr w:rsidR="0064623C" w:rsidRPr="00CE1011" w:rsidTr="00AE1DC7">
      <w:trPr>
        <w:trHeight w:val="551"/>
      </w:trPr>
      <w:tc>
        <w:tcPr>
          <w:tcW w:w="2879" w:type="dxa"/>
          <w:vMerge/>
        </w:tcPr>
        <w:p w:rsidR="0064623C" w:rsidRPr="00CE1011" w:rsidRDefault="0064623C" w:rsidP="0064623C">
          <w:pPr>
            <w:pStyle w:val="Kopfzeile"/>
            <w:rPr>
              <w:lang w:val="de-DE"/>
            </w:rPr>
          </w:pPr>
        </w:p>
      </w:tc>
      <w:tc>
        <w:tcPr>
          <w:tcW w:w="3021" w:type="dxa"/>
        </w:tcPr>
        <w:p w:rsidR="0064623C" w:rsidRDefault="0064623C" w:rsidP="0064623C">
          <w:pPr>
            <w:pStyle w:val="Kopfzeile"/>
            <w:tabs>
              <w:tab w:val="clear" w:pos="4536"/>
              <w:tab w:val="clear" w:pos="9072"/>
              <w:tab w:val="center" w:pos="1402"/>
            </w:tabs>
            <w:rPr>
              <w:b/>
              <w:lang w:val="de-DE"/>
            </w:rPr>
          </w:pPr>
          <w:r>
            <w:rPr>
              <w:b/>
              <w:lang w:val="de-DE"/>
            </w:rPr>
            <w:t>Seite 1/3</w:t>
          </w:r>
        </w:p>
        <w:p w:rsidR="0064623C" w:rsidRPr="00CE1011" w:rsidRDefault="0064623C" w:rsidP="0064623C">
          <w:pPr>
            <w:pStyle w:val="Kopfzeile"/>
            <w:tabs>
              <w:tab w:val="clear" w:pos="4536"/>
              <w:tab w:val="clear" w:pos="9072"/>
              <w:tab w:val="center" w:pos="1402"/>
            </w:tabs>
            <w:rPr>
              <w:b/>
              <w:lang w:val="de-DE"/>
            </w:rPr>
          </w:pPr>
          <w:r>
            <w:rPr>
              <w:b/>
              <w:lang w:val="de-DE"/>
            </w:rPr>
            <w:t>Version 1</w:t>
          </w:r>
          <w:r>
            <w:rPr>
              <w:b/>
              <w:lang w:val="de-DE"/>
            </w:rPr>
            <w:tab/>
          </w:r>
        </w:p>
      </w:tc>
      <w:tc>
        <w:tcPr>
          <w:tcW w:w="4024" w:type="dxa"/>
        </w:tcPr>
        <w:p w:rsidR="0064623C" w:rsidRPr="00CE1011" w:rsidRDefault="0064623C" w:rsidP="0064623C">
          <w:pPr>
            <w:pStyle w:val="Kopfzeile"/>
            <w:rPr>
              <w:b/>
              <w:lang w:val="de-DE"/>
            </w:rPr>
          </w:pPr>
          <w:r w:rsidRPr="00CE1011">
            <w:rPr>
              <w:b/>
              <w:lang w:val="de-DE"/>
            </w:rPr>
            <w:t>Freigegeben durch:</w:t>
          </w:r>
        </w:p>
      </w:tc>
    </w:tr>
  </w:tbl>
  <w:p w:rsidR="0064623C" w:rsidRDefault="006462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2506"/>
    <w:multiLevelType w:val="hybridMultilevel"/>
    <w:tmpl w:val="D78A886C"/>
    <w:lvl w:ilvl="0" w:tplc="A5182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E8"/>
    <w:rsid w:val="00097817"/>
    <w:rsid w:val="00105FF0"/>
    <w:rsid w:val="00133550"/>
    <w:rsid w:val="00180A04"/>
    <w:rsid w:val="002D6CB9"/>
    <w:rsid w:val="003C1EC2"/>
    <w:rsid w:val="003C251E"/>
    <w:rsid w:val="00410820"/>
    <w:rsid w:val="0064623C"/>
    <w:rsid w:val="00771A65"/>
    <w:rsid w:val="009042E7"/>
    <w:rsid w:val="00913AF0"/>
    <w:rsid w:val="00A02818"/>
    <w:rsid w:val="00A32FB6"/>
    <w:rsid w:val="00A36B40"/>
    <w:rsid w:val="00AF233E"/>
    <w:rsid w:val="00B07E69"/>
    <w:rsid w:val="00B520E8"/>
    <w:rsid w:val="00BD0CEB"/>
    <w:rsid w:val="00CB440E"/>
    <w:rsid w:val="00D831DD"/>
    <w:rsid w:val="00E83057"/>
    <w:rsid w:val="00EC4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28F64A-3F64-440C-9C94-A3BD7F39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20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5F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5FF0"/>
  </w:style>
  <w:style w:type="paragraph" w:styleId="Fuzeile">
    <w:name w:val="footer"/>
    <w:basedOn w:val="Standard"/>
    <w:link w:val="FuzeileZchn"/>
    <w:uiPriority w:val="99"/>
    <w:unhideWhenUsed/>
    <w:rsid w:val="00105F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5FF0"/>
  </w:style>
  <w:style w:type="table" w:styleId="Tabellenraster">
    <w:name w:val="Table Grid"/>
    <w:basedOn w:val="NormaleTabelle"/>
    <w:uiPriority w:val="39"/>
    <w:rsid w:val="0010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6CB9"/>
    <w:pPr>
      <w:ind w:left="720"/>
      <w:contextualSpacing/>
    </w:pPr>
  </w:style>
  <w:style w:type="paragraph" w:styleId="Sprechblasentext">
    <w:name w:val="Balloon Text"/>
    <w:basedOn w:val="Standard"/>
    <w:link w:val="SprechblasentextZchn"/>
    <w:uiPriority w:val="99"/>
    <w:semiHidden/>
    <w:unhideWhenUsed/>
    <w:rsid w:val="00180A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0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898</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HRA-PHARMA</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Neuenfeldt</dc:creator>
  <cp:keywords/>
  <dc:description/>
  <cp:lastModifiedBy>Miriam Neuenfeldt</cp:lastModifiedBy>
  <cp:revision>9</cp:revision>
  <cp:lastPrinted>2015-11-02T07:55:00Z</cp:lastPrinted>
  <dcterms:created xsi:type="dcterms:W3CDTF">2015-10-28T13:36:00Z</dcterms:created>
  <dcterms:modified xsi:type="dcterms:W3CDTF">2015-11-06T11:28:00Z</dcterms:modified>
</cp:coreProperties>
</file>