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F" w:rsidRPr="001C7255" w:rsidRDefault="009E54EE" w:rsidP="001C7255">
      <w:pPr>
        <w:ind w:hanging="567"/>
        <w:rPr>
          <w:b/>
          <w:sz w:val="28"/>
        </w:rPr>
      </w:pPr>
      <w:proofErr w:type="spellStart"/>
      <w:proofErr w:type="gramStart"/>
      <w:r w:rsidRPr="001C7255">
        <w:rPr>
          <w:b/>
          <w:sz w:val="28"/>
        </w:rPr>
        <w:t>Notfallverhütung</w:t>
      </w:r>
      <w:proofErr w:type="spellEnd"/>
      <w:r w:rsidRPr="001C7255">
        <w:rPr>
          <w:b/>
          <w:sz w:val="28"/>
        </w:rPr>
        <w:t>:</w:t>
      </w:r>
      <w:proofErr w:type="gramEnd"/>
      <w:r w:rsidRPr="001C7255">
        <w:rPr>
          <w:b/>
          <w:sz w:val="28"/>
        </w:rPr>
        <w:t xml:space="preserve"> </w:t>
      </w:r>
      <w:proofErr w:type="spellStart"/>
      <w:r w:rsidRPr="001C7255">
        <w:rPr>
          <w:b/>
          <w:sz w:val="28"/>
        </w:rPr>
        <w:t>Wirkstoffe</w:t>
      </w:r>
      <w:proofErr w:type="spellEnd"/>
      <w:r w:rsidRPr="001C7255">
        <w:rPr>
          <w:b/>
          <w:sz w:val="28"/>
        </w:rPr>
        <w:t xml:space="preserve"> </w:t>
      </w:r>
      <w:proofErr w:type="spellStart"/>
      <w:r w:rsidRPr="001C7255">
        <w:rPr>
          <w:b/>
          <w:sz w:val="28"/>
        </w:rPr>
        <w:t>im</w:t>
      </w:r>
      <w:proofErr w:type="spellEnd"/>
      <w:r w:rsidRPr="001C7255">
        <w:rPr>
          <w:b/>
          <w:sz w:val="28"/>
        </w:rPr>
        <w:t xml:space="preserve"> </w:t>
      </w:r>
      <w:proofErr w:type="spellStart"/>
      <w:r w:rsidRPr="001C7255">
        <w:rPr>
          <w:b/>
          <w:sz w:val="28"/>
        </w:rPr>
        <w:t>Vergleich</w:t>
      </w:r>
      <w:proofErr w:type="spellEnd"/>
    </w:p>
    <w:p w:rsidR="009E54EE" w:rsidRPr="001C7255" w:rsidRDefault="009E54EE">
      <w:pPr>
        <w:rPr>
          <w:sz w:val="4"/>
          <w:szCs w:val="4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402"/>
        <w:gridCol w:w="4395"/>
      </w:tblGrid>
      <w:tr w:rsidR="009E54EE" w:rsidTr="00CE1011">
        <w:trPr>
          <w:trHeight w:val="586"/>
        </w:trPr>
        <w:tc>
          <w:tcPr>
            <w:tcW w:w="2268" w:type="dxa"/>
            <w:vAlign w:val="center"/>
          </w:tcPr>
          <w:p w:rsidR="009E54EE" w:rsidRPr="001C7255" w:rsidRDefault="009E54EE" w:rsidP="00CE1011">
            <w:pPr>
              <w:jc w:val="center"/>
              <w:rPr>
                <w:b/>
              </w:rPr>
            </w:pPr>
            <w:proofErr w:type="spellStart"/>
            <w:r w:rsidRPr="001C7255">
              <w:rPr>
                <w:b/>
              </w:rPr>
              <w:t>Wirkstoff</w:t>
            </w:r>
            <w:proofErr w:type="spellEnd"/>
          </w:p>
        </w:tc>
        <w:tc>
          <w:tcPr>
            <w:tcW w:w="3402" w:type="dxa"/>
            <w:vAlign w:val="center"/>
          </w:tcPr>
          <w:p w:rsidR="009E54EE" w:rsidRPr="001C7255" w:rsidRDefault="009E54EE" w:rsidP="00CE1011">
            <w:pPr>
              <w:jc w:val="center"/>
              <w:rPr>
                <w:b/>
              </w:rPr>
            </w:pPr>
            <w:proofErr w:type="spellStart"/>
            <w:r w:rsidRPr="001C7255">
              <w:rPr>
                <w:b/>
              </w:rPr>
              <w:t>Levonorgestrel</w:t>
            </w:r>
            <w:proofErr w:type="spellEnd"/>
          </w:p>
        </w:tc>
        <w:tc>
          <w:tcPr>
            <w:tcW w:w="4395" w:type="dxa"/>
            <w:vAlign w:val="center"/>
          </w:tcPr>
          <w:p w:rsidR="009E54EE" w:rsidRPr="001C7255" w:rsidRDefault="009E54EE" w:rsidP="00CE1011">
            <w:pPr>
              <w:jc w:val="center"/>
              <w:rPr>
                <w:b/>
              </w:rPr>
            </w:pPr>
            <w:proofErr w:type="spellStart"/>
            <w:r w:rsidRPr="001C7255">
              <w:rPr>
                <w:b/>
              </w:rPr>
              <w:t>Ulipristalacetat</w:t>
            </w:r>
            <w:proofErr w:type="spellEnd"/>
          </w:p>
        </w:tc>
      </w:tr>
      <w:tr w:rsidR="009E54EE" w:rsidTr="00CE1011">
        <w:tc>
          <w:tcPr>
            <w:tcW w:w="2268" w:type="dxa"/>
            <w:vAlign w:val="center"/>
          </w:tcPr>
          <w:p w:rsidR="009E54EE" w:rsidRDefault="009E54EE" w:rsidP="00CE1011">
            <w:pPr>
              <w:jc w:val="center"/>
            </w:pPr>
            <w:proofErr w:type="spellStart"/>
            <w:r>
              <w:t>Pillen</w:t>
            </w:r>
            <w:proofErr w:type="spellEnd"/>
            <w:r>
              <w:t xml:space="preserve"> </w:t>
            </w:r>
            <w:proofErr w:type="spellStart"/>
            <w:r>
              <w:t>Danach</w:t>
            </w:r>
            <w:proofErr w:type="spellEnd"/>
          </w:p>
        </w:tc>
        <w:tc>
          <w:tcPr>
            <w:tcW w:w="3402" w:type="dxa"/>
          </w:tcPr>
          <w:p w:rsidR="009E54EE" w:rsidRDefault="009E54EE">
            <w:proofErr w:type="spellStart"/>
            <w:r>
              <w:t>PiDaNa</w:t>
            </w:r>
            <w:proofErr w:type="spellEnd"/>
            <w:r>
              <w:t xml:space="preserve">®, </w:t>
            </w:r>
            <w:proofErr w:type="spellStart"/>
            <w:r>
              <w:t>Unofem</w:t>
            </w:r>
            <w:proofErr w:type="spellEnd"/>
            <w:r>
              <w:t xml:space="preserve">®, </w:t>
            </w:r>
            <w:proofErr w:type="spellStart"/>
            <w:r>
              <w:t>Postinor</w:t>
            </w:r>
            <w:proofErr w:type="spellEnd"/>
            <w:r>
              <w:t xml:space="preserve">®, </w:t>
            </w:r>
            <w:proofErr w:type="spellStart"/>
            <w:r>
              <w:t>Levonoraristo</w:t>
            </w:r>
            <w:proofErr w:type="spellEnd"/>
            <w:r>
              <w:t>®</w:t>
            </w:r>
          </w:p>
        </w:tc>
        <w:tc>
          <w:tcPr>
            <w:tcW w:w="4395" w:type="dxa"/>
          </w:tcPr>
          <w:p w:rsidR="009E54EE" w:rsidRDefault="009E54EE">
            <w:proofErr w:type="spellStart"/>
            <w:r>
              <w:t>ellaOne</w:t>
            </w:r>
            <w:proofErr w:type="spellEnd"/>
            <w:r>
              <w:t>®</w:t>
            </w:r>
          </w:p>
        </w:tc>
      </w:tr>
      <w:tr w:rsidR="009E54EE" w:rsidTr="00CE1011">
        <w:tc>
          <w:tcPr>
            <w:tcW w:w="2268" w:type="dxa"/>
            <w:vAlign w:val="center"/>
          </w:tcPr>
          <w:p w:rsidR="009E54EE" w:rsidRDefault="009E54EE" w:rsidP="00CE1011">
            <w:pPr>
              <w:jc w:val="center"/>
            </w:pPr>
            <w:proofErr w:type="spellStart"/>
            <w:r>
              <w:t>Schwangerschaftsrate</w:t>
            </w:r>
            <w:proofErr w:type="spellEnd"/>
            <w:r>
              <w:t xml:space="preserve"> (0-24 h)</w:t>
            </w:r>
            <w:r w:rsidR="00030291">
              <w:t>*</w:t>
            </w:r>
          </w:p>
        </w:tc>
        <w:tc>
          <w:tcPr>
            <w:tcW w:w="3402" w:type="dxa"/>
          </w:tcPr>
          <w:p w:rsidR="009E54EE" w:rsidRDefault="009E54EE">
            <w:r>
              <w:t>2,3 %</w:t>
            </w:r>
          </w:p>
        </w:tc>
        <w:tc>
          <w:tcPr>
            <w:tcW w:w="4395" w:type="dxa"/>
          </w:tcPr>
          <w:p w:rsidR="009E54EE" w:rsidRDefault="009E54EE">
            <w:r>
              <w:t>0,9 %</w:t>
            </w:r>
          </w:p>
        </w:tc>
      </w:tr>
      <w:tr w:rsidR="009E54EE" w:rsidTr="00CE1011">
        <w:tc>
          <w:tcPr>
            <w:tcW w:w="2268" w:type="dxa"/>
            <w:vAlign w:val="center"/>
          </w:tcPr>
          <w:p w:rsidR="009E54EE" w:rsidRDefault="009E54EE" w:rsidP="00CE1011">
            <w:pPr>
              <w:jc w:val="center"/>
            </w:pPr>
            <w:proofErr w:type="spellStart"/>
            <w:r>
              <w:t>Schwangerschaftsrate</w:t>
            </w:r>
            <w:proofErr w:type="spellEnd"/>
            <w:r>
              <w:t xml:space="preserve"> (0-72 h)</w:t>
            </w:r>
            <w:r w:rsidR="00030291">
              <w:t>*</w:t>
            </w:r>
          </w:p>
        </w:tc>
        <w:tc>
          <w:tcPr>
            <w:tcW w:w="3402" w:type="dxa"/>
          </w:tcPr>
          <w:p w:rsidR="009E54EE" w:rsidRDefault="009E54EE">
            <w:r>
              <w:t>2,2 %</w:t>
            </w:r>
          </w:p>
        </w:tc>
        <w:tc>
          <w:tcPr>
            <w:tcW w:w="4395" w:type="dxa"/>
          </w:tcPr>
          <w:p w:rsidR="009E54EE" w:rsidRDefault="009E54EE">
            <w:r>
              <w:t>1,4 %</w:t>
            </w:r>
          </w:p>
        </w:tc>
      </w:tr>
      <w:tr w:rsidR="009E54EE" w:rsidRPr="00135D6F" w:rsidTr="00CE1011">
        <w:tc>
          <w:tcPr>
            <w:tcW w:w="2268" w:type="dxa"/>
            <w:vAlign w:val="center"/>
          </w:tcPr>
          <w:p w:rsidR="009E54EE" w:rsidRDefault="00030291" w:rsidP="00CE1011">
            <w:pPr>
              <w:jc w:val="center"/>
            </w:pPr>
            <w:proofErr w:type="spellStart"/>
            <w:r>
              <w:t>Wirkmechanismus</w:t>
            </w:r>
            <w:proofErr w:type="spellEnd"/>
          </w:p>
        </w:tc>
        <w:tc>
          <w:tcPr>
            <w:tcW w:w="3402" w:type="dxa"/>
          </w:tcPr>
          <w:p w:rsidR="009E54EE" w:rsidRPr="00030291" w:rsidRDefault="001C7255" w:rsidP="00030291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030291" w:rsidRPr="00030291">
              <w:rPr>
                <w:lang w:val="de-DE"/>
              </w:rPr>
              <w:t xml:space="preserve">Verschiebung des Eisprungs </w:t>
            </w:r>
          </w:p>
        </w:tc>
        <w:tc>
          <w:tcPr>
            <w:tcW w:w="4395" w:type="dxa"/>
          </w:tcPr>
          <w:p w:rsidR="009E54EE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030291">
              <w:rPr>
                <w:lang w:val="de-DE"/>
              </w:rPr>
              <w:t>Verschiebung des Eisprungs</w:t>
            </w:r>
          </w:p>
          <w:p w:rsidR="004932A9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030291">
              <w:rPr>
                <w:lang w:val="de-DE"/>
              </w:rPr>
              <w:t xml:space="preserve">Verzögerung der </w:t>
            </w:r>
            <w:r w:rsidR="00B259DC">
              <w:rPr>
                <w:lang w:val="de-DE"/>
              </w:rPr>
              <w:t>Follikelruptur</w:t>
            </w:r>
          </w:p>
          <w:p w:rsidR="00B259DC" w:rsidRPr="00030291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B259DC">
              <w:rPr>
                <w:lang w:val="de-DE"/>
              </w:rPr>
              <w:t>Ver</w:t>
            </w:r>
            <w:r w:rsidR="00135D6F">
              <w:rPr>
                <w:lang w:val="de-DE"/>
              </w:rPr>
              <w:t xml:space="preserve">schiebung des </w:t>
            </w:r>
            <w:proofErr w:type="spellStart"/>
            <w:r w:rsidR="00135D6F">
              <w:rPr>
                <w:lang w:val="de-DE"/>
              </w:rPr>
              <w:t>präovulatorischen</w:t>
            </w:r>
            <w:proofErr w:type="spellEnd"/>
            <w:r w:rsidR="00135D6F">
              <w:rPr>
                <w:lang w:val="de-DE"/>
              </w:rPr>
              <w:t xml:space="preserve">                      </w:t>
            </w:r>
            <w:r w:rsidR="00B259DC">
              <w:rPr>
                <w:lang w:val="de-DE"/>
              </w:rPr>
              <w:t>Progesteron-Anstiegs</w:t>
            </w:r>
          </w:p>
        </w:tc>
      </w:tr>
      <w:tr w:rsidR="009E54EE" w:rsidRPr="00135D6F" w:rsidTr="00CE1011">
        <w:tc>
          <w:tcPr>
            <w:tcW w:w="2268" w:type="dxa"/>
            <w:vAlign w:val="center"/>
          </w:tcPr>
          <w:p w:rsidR="009E54EE" w:rsidRPr="00030291" w:rsidRDefault="00030291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Wirkfenster</w:t>
            </w:r>
          </w:p>
        </w:tc>
        <w:tc>
          <w:tcPr>
            <w:tcW w:w="3402" w:type="dxa"/>
          </w:tcPr>
          <w:p w:rsidR="009E54EE" w:rsidRDefault="001C7255">
            <w:pPr>
              <w:rPr>
                <w:lang w:val="de-DE"/>
              </w:rPr>
            </w:pPr>
            <w:r>
              <w:rPr>
                <w:lang w:val="de-DE"/>
              </w:rPr>
              <w:t>- w</w:t>
            </w:r>
            <w:r w:rsidR="00030291">
              <w:rPr>
                <w:lang w:val="de-DE"/>
              </w:rPr>
              <w:t xml:space="preserve">irksam bei Anwendung </w:t>
            </w:r>
            <w:r>
              <w:rPr>
                <w:lang w:val="de-DE"/>
              </w:rPr>
              <w:t>bis 2-3 Tage</w:t>
            </w:r>
            <w:r w:rsidR="00030291" w:rsidRPr="00030291">
              <w:rPr>
                <w:lang w:val="de-DE"/>
              </w:rPr>
              <w:t xml:space="preserve"> vor dem Eisprung</w:t>
            </w:r>
          </w:p>
          <w:p w:rsidR="00DC2E94" w:rsidRPr="00030291" w:rsidRDefault="001C7255">
            <w:pPr>
              <w:rPr>
                <w:lang w:val="de-DE"/>
              </w:rPr>
            </w:pPr>
            <w:r>
              <w:rPr>
                <w:lang w:val="de-DE"/>
              </w:rPr>
              <w:t>- z</w:t>
            </w:r>
            <w:r w:rsidR="00DC2E94">
              <w:rPr>
                <w:lang w:val="de-DE"/>
              </w:rPr>
              <w:t>ugelassen bis 3 Tage nach dem ungeschützten Geschlechtsverkehr</w:t>
            </w:r>
          </w:p>
        </w:tc>
        <w:tc>
          <w:tcPr>
            <w:tcW w:w="4395" w:type="dxa"/>
          </w:tcPr>
          <w:p w:rsidR="009E54EE" w:rsidRDefault="001C7255">
            <w:pPr>
              <w:rPr>
                <w:lang w:val="de-DE"/>
              </w:rPr>
            </w:pPr>
            <w:r>
              <w:rPr>
                <w:lang w:val="de-DE"/>
              </w:rPr>
              <w:t>- w</w:t>
            </w:r>
            <w:r w:rsidR="00030291">
              <w:rPr>
                <w:lang w:val="de-DE"/>
              </w:rPr>
              <w:t>irksam bei Anwendung bis wenige Stunden</w:t>
            </w:r>
            <w:r w:rsidR="00030291" w:rsidRPr="00030291">
              <w:rPr>
                <w:lang w:val="de-DE"/>
              </w:rPr>
              <w:t xml:space="preserve"> vor dem Eisprung</w:t>
            </w:r>
          </w:p>
          <w:p w:rsidR="00DC2E94" w:rsidRPr="00030291" w:rsidRDefault="001C7255">
            <w:pPr>
              <w:rPr>
                <w:lang w:val="de-DE"/>
              </w:rPr>
            </w:pPr>
            <w:r>
              <w:rPr>
                <w:lang w:val="de-DE"/>
              </w:rPr>
              <w:t>- z</w:t>
            </w:r>
            <w:r w:rsidR="00135D6F">
              <w:rPr>
                <w:lang w:val="de-DE"/>
              </w:rPr>
              <w:t>ugelassen bis 5</w:t>
            </w:r>
            <w:r w:rsidR="00DC2E94">
              <w:rPr>
                <w:lang w:val="de-DE"/>
              </w:rPr>
              <w:t xml:space="preserve"> Tage nach dem ungeschützten Geschlechtsverkehr</w:t>
            </w:r>
          </w:p>
        </w:tc>
      </w:tr>
      <w:tr w:rsidR="00030291" w:rsidRPr="00135D6F" w:rsidTr="00CE1011">
        <w:tc>
          <w:tcPr>
            <w:tcW w:w="2268" w:type="dxa"/>
            <w:vAlign w:val="center"/>
          </w:tcPr>
          <w:p w:rsidR="00030291" w:rsidRPr="00030291" w:rsidRDefault="00030291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Anwendung</w:t>
            </w:r>
          </w:p>
        </w:tc>
        <w:tc>
          <w:tcPr>
            <w:tcW w:w="7797" w:type="dxa"/>
            <w:gridSpan w:val="2"/>
          </w:tcPr>
          <w:p w:rsidR="00030291" w:rsidRPr="00030291" w:rsidRDefault="00030291" w:rsidP="001C7255">
            <w:pPr>
              <w:rPr>
                <w:lang w:val="de-DE"/>
              </w:rPr>
            </w:pPr>
            <w:r>
              <w:rPr>
                <w:lang w:val="de-DE"/>
              </w:rPr>
              <w:t>Zu jedem Zeitpunkt im Zyklus</w:t>
            </w:r>
            <w:r w:rsidR="001C7255">
              <w:rPr>
                <w:lang w:val="de-DE"/>
              </w:rPr>
              <w:t xml:space="preserve"> nach ungeschütztem Geschlechtsverkehr oder Versagen der Kontrazeption</w:t>
            </w:r>
            <w:r>
              <w:rPr>
                <w:lang w:val="de-DE"/>
              </w:rPr>
              <w:t xml:space="preserve"> und so schnell wie möglich, da der Eisprung nicht vorhersagbar </w:t>
            </w:r>
            <w:r w:rsidR="001C7255">
              <w:rPr>
                <w:lang w:val="de-DE"/>
              </w:rPr>
              <w:t xml:space="preserve">und sehr variabel </w:t>
            </w:r>
            <w:r>
              <w:rPr>
                <w:lang w:val="de-DE"/>
              </w:rPr>
              <w:t xml:space="preserve">ist. </w:t>
            </w:r>
          </w:p>
        </w:tc>
      </w:tr>
      <w:tr w:rsidR="00334FA3" w:rsidRPr="00135D6F" w:rsidTr="00CE1011">
        <w:tc>
          <w:tcPr>
            <w:tcW w:w="2268" w:type="dxa"/>
            <w:vAlign w:val="center"/>
          </w:tcPr>
          <w:p w:rsidR="00334FA3" w:rsidRDefault="00334FA3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Kontraindikation</w:t>
            </w:r>
          </w:p>
        </w:tc>
        <w:tc>
          <w:tcPr>
            <w:tcW w:w="7797" w:type="dxa"/>
            <w:gridSpan w:val="2"/>
          </w:tcPr>
          <w:p w:rsidR="00334FA3" w:rsidRDefault="00A835F9">
            <w:pPr>
              <w:rPr>
                <w:lang w:val="de-DE"/>
              </w:rPr>
            </w:pPr>
            <w:r>
              <w:rPr>
                <w:lang w:val="de-DE"/>
              </w:rPr>
              <w:t>Überempfindlichkeit gegenüber dem Wirkstoff oder einem der sonstigen Bestandteile</w:t>
            </w:r>
          </w:p>
        </w:tc>
      </w:tr>
      <w:tr w:rsidR="00A835F9" w:rsidRPr="00135D6F" w:rsidTr="00CE1011">
        <w:tc>
          <w:tcPr>
            <w:tcW w:w="2268" w:type="dxa"/>
            <w:vMerge w:val="restart"/>
            <w:vAlign w:val="center"/>
          </w:tcPr>
          <w:p w:rsidR="00A835F9" w:rsidRDefault="00135D6F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Neben</w:t>
            </w:r>
            <w:r w:rsidR="00A835F9">
              <w:rPr>
                <w:lang w:val="de-DE"/>
              </w:rPr>
              <w:t>wirkungen</w:t>
            </w:r>
          </w:p>
        </w:tc>
        <w:tc>
          <w:tcPr>
            <w:tcW w:w="3402" w:type="dxa"/>
          </w:tcPr>
          <w:p w:rsidR="00A835F9" w:rsidRPr="00A835F9" w:rsidRDefault="00A835F9">
            <w:pPr>
              <w:rPr>
                <w:b/>
                <w:lang w:val="de-DE"/>
              </w:rPr>
            </w:pPr>
            <w:r w:rsidRPr="00A835F9">
              <w:rPr>
                <w:b/>
                <w:lang w:val="de-DE"/>
              </w:rPr>
              <w:t>Sehr häufig (≥ 1/10)</w:t>
            </w:r>
            <w:r>
              <w:rPr>
                <w:b/>
                <w:lang w:val="de-DE"/>
              </w:rPr>
              <w:t>:</w:t>
            </w:r>
          </w:p>
          <w:p w:rsidR="00A835F9" w:rsidRDefault="00A835F9" w:rsidP="00A873E0">
            <w:pPr>
              <w:rPr>
                <w:lang w:val="de-DE"/>
              </w:rPr>
            </w:pPr>
            <w:r>
              <w:rPr>
                <w:lang w:val="de-DE"/>
              </w:rPr>
              <w:t xml:space="preserve">Schwindel, </w:t>
            </w:r>
            <w:r w:rsidRPr="00A873E0">
              <w:rPr>
                <w:lang w:val="de-DE"/>
              </w:rPr>
              <w:t>Kopfschmerzen</w:t>
            </w:r>
            <w:r>
              <w:rPr>
                <w:lang w:val="de-DE"/>
              </w:rPr>
              <w:t xml:space="preserve">, Übelkeit, </w:t>
            </w:r>
            <w:r w:rsidRPr="00A873E0">
              <w:rPr>
                <w:lang w:val="de-DE"/>
              </w:rPr>
              <w:t>Schmerzen im Unterbauch</w:t>
            </w:r>
            <w:r>
              <w:rPr>
                <w:lang w:val="de-DE"/>
              </w:rPr>
              <w:t>, Gebärmutterschmerzen, Spannungsgefühl in der</w:t>
            </w:r>
            <w:r w:rsidR="001C7255">
              <w:rPr>
                <w:lang w:val="de-DE"/>
              </w:rPr>
              <w:t xml:space="preserve"> Brust, v</w:t>
            </w:r>
            <w:r>
              <w:rPr>
                <w:lang w:val="de-DE"/>
              </w:rPr>
              <w:t xml:space="preserve">erspätete Menstruation, stärkere Menstruation, </w:t>
            </w:r>
            <w:r w:rsidRPr="00A873E0">
              <w:rPr>
                <w:lang w:val="de-DE"/>
              </w:rPr>
              <w:t>Blutungen</w:t>
            </w:r>
            <w:r>
              <w:rPr>
                <w:lang w:val="de-DE"/>
              </w:rPr>
              <w:t xml:space="preserve">, </w:t>
            </w:r>
            <w:r w:rsidRPr="00A873E0">
              <w:rPr>
                <w:lang w:val="de-DE"/>
              </w:rPr>
              <w:t>Müdigkeit</w:t>
            </w:r>
          </w:p>
        </w:tc>
        <w:tc>
          <w:tcPr>
            <w:tcW w:w="4395" w:type="dxa"/>
          </w:tcPr>
          <w:p w:rsidR="00A835F9" w:rsidRDefault="00A835F9">
            <w:pPr>
              <w:rPr>
                <w:lang w:val="de-DE"/>
              </w:rPr>
            </w:pPr>
          </w:p>
        </w:tc>
      </w:tr>
      <w:tr w:rsidR="00A835F9" w:rsidRPr="00135D6F" w:rsidTr="001C7255">
        <w:tc>
          <w:tcPr>
            <w:tcW w:w="2268" w:type="dxa"/>
            <w:vMerge/>
          </w:tcPr>
          <w:p w:rsidR="00A835F9" w:rsidRDefault="00A835F9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A835F9" w:rsidRPr="00A835F9" w:rsidRDefault="00A835F9">
            <w:pPr>
              <w:rPr>
                <w:b/>
                <w:lang w:val="de-DE"/>
              </w:rPr>
            </w:pPr>
            <w:r w:rsidRPr="00A835F9">
              <w:rPr>
                <w:b/>
                <w:lang w:val="de-DE"/>
              </w:rPr>
              <w:t>Häufig (≥ 1/100 bis &lt; 1/10)</w:t>
            </w:r>
            <w:r>
              <w:rPr>
                <w:b/>
                <w:lang w:val="de-DE"/>
              </w:rPr>
              <w:t>:</w:t>
            </w:r>
          </w:p>
          <w:p w:rsidR="00A835F9" w:rsidRDefault="00A835F9" w:rsidP="00A835F9">
            <w:pPr>
              <w:rPr>
                <w:lang w:val="de-DE"/>
              </w:rPr>
            </w:pPr>
            <w:r>
              <w:rPr>
                <w:lang w:val="de-DE"/>
              </w:rPr>
              <w:t xml:space="preserve">Durchfall, </w:t>
            </w:r>
            <w:r w:rsidRPr="00A835F9">
              <w:rPr>
                <w:lang w:val="de-DE"/>
              </w:rPr>
              <w:t>Erbrechen</w:t>
            </w:r>
            <w:r>
              <w:rPr>
                <w:lang w:val="de-DE"/>
              </w:rPr>
              <w:t xml:space="preserve">, </w:t>
            </w:r>
            <w:r w:rsidRPr="00A835F9">
              <w:rPr>
                <w:lang w:val="de-DE"/>
              </w:rPr>
              <w:t>Dysmenorrhoe</w:t>
            </w:r>
          </w:p>
        </w:tc>
        <w:tc>
          <w:tcPr>
            <w:tcW w:w="4395" w:type="dxa"/>
          </w:tcPr>
          <w:p w:rsidR="00A835F9" w:rsidRPr="00A835F9" w:rsidRDefault="00A835F9" w:rsidP="00A835F9">
            <w:pPr>
              <w:rPr>
                <w:b/>
                <w:lang w:val="de-DE"/>
              </w:rPr>
            </w:pPr>
            <w:r w:rsidRPr="00A835F9">
              <w:rPr>
                <w:b/>
                <w:lang w:val="de-DE"/>
              </w:rPr>
              <w:t>Häufig (≥ 1/100 bis &lt; 1/10)</w:t>
            </w:r>
            <w:r>
              <w:rPr>
                <w:b/>
                <w:lang w:val="de-DE"/>
              </w:rPr>
              <w:t>:</w:t>
            </w:r>
          </w:p>
          <w:p w:rsidR="00A835F9" w:rsidRPr="00A835F9" w:rsidRDefault="00A835F9" w:rsidP="00A835F9">
            <w:pPr>
              <w:rPr>
                <w:lang w:val="de-DE"/>
              </w:rPr>
            </w:pPr>
            <w:r>
              <w:rPr>
                <w:lang w:val="de-DE"/>
              </w:rPr>
              <w:t xml:space="preserve">Kopfschmerzen, </w:t>
            </w:r>
            <w:r w:rsidRPr="00A835F9">
              <w:rPr>
                <w:lang w:val="de-DE"/>
              </w:rPr>
              <w:t>Schwindelgefühl</w:t>
            </w:r>
            <w:r>
              <w:rPr>
                <w:lang w:val="de-DE"/>
              </w:rPr>
              <w:t>,</w:t>
            </w:r>
            <w:r w:rsidRPr="00A835F9">
              <w:rPr>
                <w:lang w:val="de-DE"/>
              </w:rPr>
              <w:t xml:space="preserve"> </w:t>
            </w:r>
            <w:r w:rsidR="001C7255">
              <w:rPr>
                <w:lang w:val="de-DE"/>
              </w:rPr>
              <w:t>a</w:t>
            </w:r>
            <w:r w:rsidRPr="00A835F9">
              <w:rPr>
                <w:lang w:val="de-DE"/>
              </w:rPr>
              <w:t>ffektive Störungen</w:t>
            </w:r>
            <w:r>
              <w:rPr>
                <w:lang w:val="de-DE"/>
              </w:rPr>
              <w:t xml:space="preserve">, Übelkeit, Bauchschmerzen, Unwohlsein in der Bauchgegend, Erbrechen, Myalgie, </w:t>
            </w:r>
            <w:r w:rsidRPr="00A835F9">
              <w:rPr>
                <w:lang w:val="de-DE"/>
              </w:rPr>
              <w:t>Rückenschmerzen</w:t>
            </w:r>
            <w:r>
              <w:rPr>
                <w:lang w:val="de-DE"/>
              </w:rPr>
              <w:t xml:space="preserve">, Dysmenorrhö, Unterleibsschmerzen, Spannungen in der </w:t>
            </w:r>
            <w:r w:rsidRPr="00A835F9">
              <w:rPr>
                <w:lang w:val="de-DE"/>
              </w:rPr>
              <w:t>Brust</w:t>
            </w:r>
            <w:r>
              <w:rPr>
                <w:lang w:val="de-DE"/>
              </w:rPr>
              <w:t xml:space="preserve">, </w:t>
            </w:r>
            <w:r w:rsidRPr="00A835F9">
              <w:rPr>
                <w:lang w:val="de-DE"/>
              </w:rPr>
              <w:t>Müdigkeit</w:t>
            </w:r>
          </w:p>
        </w:tc>
      </w:tr>
      <w:tr w:rsidR="00A835F9" w:rsidRPr="00135D6F" w:rsidTr="001C7255">
        <w:tc>
          <w:tcPr>
            <w:tcW w:w="2268" w:type="dxa"/>
            <w:vMerge/>
          </w:tcPr>
          <w:p w:rsidR="00A835F9" w:rsidRDefault="00A835F9">
            <w:pPr>
              <w:rPr>
                <w:lang w:val="de-DE"/>
              </w:rPr>
            </w:pPr>
          </w:p>
        </w:tc>
        <w:tc>
          <w:tcPr>
            <w:tcW w:w="3402" w:type="dxa"/>
          </w:tcPr>
          <w:p w:rsidR="00A835F9" w:rsidRDefault="00A835F9">
            <w:pPr>
              <w:rPr>
                <w:lang w:val="de-DE"/>
              </w:rPr>
            </w:pPr>
          </w:p>
        </w:tc>
        <w:tc>
          <w:tcPr>
            <w:tcW w:w="4395" w:type="dxa"/>
          </w:tcPr>
          <w:p w:rsidR="00A835F9" w:rsidRPr="00A835F9" w:rsidRDefault="00A835F9" w:rsidP="00A835F9">
            <w:pPr>
              <w:rPr>
                <w:b/>
                <w:lang w:val="de-DE"/>
              </w:rPr>
            </w:pPr>
            <w:r w:rsidRPr="00A835F9">
              <w:rPr>
                <w:b/>
                <w:lang w:val="de-DE"/>
              </w:rPr>
              <w:t>Gelegentlich und selten</w:t>
            </w:r>
            <w:r>
              <w:rPr>
                <w:b/>
                <w:lang w:val="de-DE"/>
              </w:rPr>
              <w:t>:</w:t>
            </w:r>
          </w:p>
          <w:p w:rsidR="00A835F9" w:rsidRDefault="001C7255" w:rsidP="00A835F9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A835F9">
              <w:rPr>
                <w:lang w:val="de-DE"/>
              </w:rPr>
              <w:t>iehe Fachinformation</w:t>
            </w:r>
          </w:p>
        </w:tc>
      </w:tr>
      <w:tr w:rsidR="00DC2E94" w:rsidRPr="00135D6F" w:rsidTr="00CE1011">
        <w:tc>
          <w:tcPr>
            <w:tcW w:w="2268" w:type="dxa"/>
            <w:vAlign w:val="center"/>
          </w:tcPr>
          <w:p w:rsidR="00DC2E94" w:rsidRPr="00030291" w:rsidRDefault="00DC2E94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Schwangerschaft</w:t>
            </w:r>
          </w:p>
        </w:tc>
        <w:tc>
          <w:tcPr>
            <w:tcW w:w="7797" w:type="dxa"/>
            <w:gridSpan w:val="2"/>
          </w:tcPr>
          <w:p w:rsidR="00DC2E94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DC2E94">
              <w:rPr>
                <w:lang w:val="de-DE"/>
              </w:rPr>
              <w:t>Schwangerschaften trotz Pille Danach sind keine Indikation für einen Schwangerschaftsabbruch</w:t>
            </w:r>
            <w:r>
              <w:rPr>
                <w:lang w:val="de-DE"/>
              </w:rPr>
              <w:t>.</w:t>
            </w:r>
          </w:p>
          <w:p w:rsidR="00DC2E94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DC2E94">
              <w:rPr>
                <w:lang w:val="de-DE"/>
              </w:rPr>
              <w:t>Bisherige Daten geben keinerlei Hinweis auf ein erhöhtes Risiko für Komplikationen oder Fehlbildungen</w:t>
            </w:r>
            <w:r>
              <w:rPr>
                <w:lang w:val="de-DE"/>
              </w:rPr>
              <w:t>.</w:t>
            </w:r>
          </w:p>
          <w:p w:rsidR="00A835F9" w:rsidRPr="00030291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A835F9">
              <w:rPr>
                <w:lang w:val="de-DE"/>
              </w:rPr>
              <w:t>Eine bestehende Schwangerschaft wird durch die Pille Danach nicht abgebrochen.</w:t>
            </w:r>
          </w:p>
        </w:tc>
      </w:tr>
      <w:tr w:rsidR="00334FA3" w:rsidRPr="00135D6F" w:rsidTr="00CE1011">
        <w:tc>
          <w:tcPr>
            <w:tcW w:w="2268" w:type="dxa"/>
            <w:vAlign w:val="center"/>
          </w:tcPr>
          <w:p w:rsidR="00334FA3" w:rsidRDefault="00334FA3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Stillzeit</w:t>
            </w:r>
          </w:p>
        </w:tc>
        <w:tc>
          <w:tcPr>
            <w:tcW w:w="3402" w:type="dxa"/>
          </w:tcPr>
          <w:p w:rsidR="00334FA3" w:rsidRDefault="00135D6F">
            <w:pPr>
              <w:rPr>
                <w:lang w:val="de-DE"/>
              </w:rPr>
            </w:pPr>
            <w:r>
              <w:rPr>
                <w:lang w:val="de-DE"/>
              </w:rPr>
              <w:t>Es wird eine Stillpause</w:t>
            </w:r>
            <w:r w:rsidR="001C7255">
              <w:rPr>
                <w:lang w:val="de-DE"/>
              </w:rPr>
              <w:t xml:space="preserve"> von 8 Stunden empfohlen.</w:t>
            </w:r>
          </w:p>
        </w:tc>
        <w:tc>
          <w:tcPr>
            <w:tcW w:w="4395" w:type="dxa"/>
          </w:tcPr>
          <w:p w:rsidR="00334FA3" w:rsidRDefault="001C7255">
            <w:pPr>
              <w:rPr>
                <w:lang w:val="de-DE"/>
              </w:rPr>
            </w:pPr>
            <w:r>
              <w:rPr>
                <w:lang w:val="de-DE"/>
              </w:rPr>
              <w:t>Es wird eine Stillpause von 1 Woche empfohlen.</w:t>
            </w:r>
          </w:p>
        </w:tc>
      </w:tr>
      <w:tr w:rsidR="00334FA3" w:rsidRPr="00135D6F" w:rsidTr="00CE1011">
        <w:tc>
          <w:tcPr>
            <w:tcW w:w="2268" w:type="dxa"/>
            <w:vAlign w:val="center"/>
          </w:tcPr>
          <w:p w:rsidR="00334FA3" w:rsidRDefault="00334FA3" w:rsidP="00CE101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Reguläre orale Kontrazeptiva</w:t>
            </w:r>
          </w:p>
        </w:tc>
        <w:tc>
          <w:tcPr>
            <w:tcW w:w="7797" w:type="dxa"/>
            <w:gridSpan w:val="2"/>
          </w:tcPr>
          <w:p w:rsidR="00334FA3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334FA3">
              <w:rPr>
                <w:lang w:val="de-DE"/>
              </w:rPr>
              <w:t>Die fehlerhafte Anwendung regulärer oraler Kontrazeptiva kann eine Indikation für Notfallverhütung sein</w:t>
            </w:r>
            <w:r w:rsidR="00135D6F">
              <w:rPr>
                <w:lang w:val="de-DE"/>
              </w:rPr>
              <w:t xml:space="preserve"> (siehe Fachinformation des jeweiligen regulären</w:t>
            </w:r>
            <w:bookmarkStart w:id="0" w:name="_GoBack"/>
            <w:bookmarkEnd w:id="0"/>
            <w:r w:rsidR="00135D6F">
              <w:rPr>
                <w:lang w:val="de-DE"/>
              </w:rPr>
              <w:t xml:space="preserve"> oralen Kontrazeptivums)</w:t>
            </w:r>
            <w:r>
              <w:rPr>
                <w:lang w:val="de-DE"/>
              </w:rPr>
              <w:t>.</w:t>
            </w:r>
          </w:p>
          <w:p w:rsidR="00334FA3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334FA3">
              <w:rPr>
                <w:lang w:val="de-DE"/>
              </w:rPr>
              <w:t>Am Folgetag nach Einnahme der Pille Danach kann mit der regulären oralen Kontrazeption wie gewohnt weiter fortgefahren werden</w:t>
            </w:r>
            <w:r>
              <w:rPr>
                <w:lang w:val="de-DE"/>
              </w:rPr>
              <w:t>.</w:t>
            </w:r>
          </w:p>
          <w:p w:rsidR="00334FA3" w:rsidRPr="00030291" w:rsidRDefault="001C7255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334FA3">
              <w:rPr>
                <w:lang w:val="de-DE"/>
              </w:rPr>
              <w:t>Bis zur nächsten Blutung bzw. für die nächsten 14 Tage ist zusätzlich mit Kondomen zu verhüten</w:t>
            </w:r>
            <w:r>
              <w:rPr>
                <w:lang w:val="de-DE"/>
              </w:rPr>
              <w:t>.</w:t>
            </w:r>
          </w:p>
        </w:tc>
      </w:tr>
    </w:tbl>
    <w:p w:rsidR="009E54EE" w:rsidRPr="00030291" w:rsidRDefault="009E54EE">
      <w:pPr>
        <w:rPr>
          <w:lang w:val="de-DE"/>
        </w:rPr>
      </w:pPr>
    </w:p>
    <w:p w:rsidR="00030291" w:rsidRDefault="00030291">
      <w:r w:rsidRPr="00B259DC">
        <w:t xml:space="preserve">* </w:t>
      </w:r>
      <w:proofErr w:type="spellStart"/>
      <w:r w:rsidRPr="00B259DC">
        <w:t>Glasier</w:t>
      </w:r>
      <w:proofErr w:type="spellEnd"/>
      <w:r w:rsidRPr="00B259DC">
        <w:t xml:space="preserve">, A. F. et al. </w:t>
      </w:r>
      <w:proofErr w:type="spellStart"/>
      <w:r w:rsidRPr="00B259DC">
        <w:rPr>
          <w:lang w:val="en-US"/>
        </w:rPr>
        <w:t>Ulipristal</w:t>
      </w:r>
      <w:proofErr w:type="spellEnd"/>
      <w:r w:rsidRPr="00B259DC">
        <w:rPr>
          <w:lang w:val="en-US"/>
        </w:rPr>
        <w:t xml:space="preserve"> acetate versus </w:t>
      </w:r>
      <w:proofErr w:type="spellStart"/>
      <w:r w:rsidRPr="00B259DC">
        <w:rPr>
          <w:lang w:val="en-US"/>
        </w:rPr>
        <w:t>levonorgestrel</w:t>
      </w:r>
      <w:proofErr w:type="spellEnd"/>
      <w:r w:rsidRPr="00B259DC">
        <w:rPr>
          <w:lang w:val="en-US"/>
        </w:rPr>
        <w:t xml:space="preserve"> for emergency c</w:t>
      </w:r>
      <w:r w:rsidRPr="00030291">
        <w:rPr>
          <w:lang w:val="en-US"/>
        </w:rPr>
        <w:t xml:space="preserve">ontraception: a randomized non-inferiority trial and meta-analysis. </w:t>
      </w:r>
      <w:r w:rsidRPr="00030291">
        <w:t xml:space="preserve">Lancet </w:t>
      </w:r>
      <w:proofErr w:type="gramStart"/>
      <w:r w:rsidRPr="00030291">
        <w:t>2010;</w:t>
      </w:r>
      <w:proofErr w:type="gramEnd"/>
      <w:r w:rsidRPr="00030291">
        <w:t xml:space="preserve"> 375(9714): 555-62</w:t>
      </w:r>
    </w:p>
    <w:sectPr w:rsidR="00030291" w:rsidSect="00CE1011">
      <w:headerReference w:type="even" r:id="rId6"/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44" w:rsidRDefault="00616144" w:rsidP="00CE1011">
      <w:pPr>
        <w:spacing w:after="0" w:line="240" w:lineRule="auto"/>
      </w:pPr>
      <w:r>
        <w:separator/>
      </w:r>
    </w:p>
  </w:endnote>
  <w:endnote w:type="continuationSeparator" w:id="0">
    <w:p w:rsidR="00616144" w:rsidRDefault="00616144" w:rsidP="00CE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44" w:rsidRDefault="00616144" w:rsidP="00CE1011">
      <w:pPr>
        <w:spacing w:after="0" w:line="240" w:lineRule="auto"/>
      </w:pPr>
      <w:r>
        <w:separator/>
      </w:r>
    </w:p>
  </w:footnote>
  <w:footnote w:type="continuationSeparator" w:id="0">
    <w:p w:rsidR="00616144" w:rsidRDefault="00616144" w:rsidP="00CE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65" w:type="dxa"/>
      <w:tblInd w:w="-572" w:type="dxa"/>
      <w:tblLook w:val="04A0" w:firstRow="1" w:lastRow="0" w:firstColumn="1" w:lastColumn="0" w:noHBand="0" w:noVBand="1"/>
    </w:tblPr>
    <w:tblGrid>
      <w:gridCol w:w="3020"/>
      <w:gridCol w:w="3021"/>
      <w:gridCol w:w="4024"/>
    </w:tblGrid>
    <w:tr w:rsidR="00CE1011" w:rsidRPr="00CE1011" w:rsidTr="00AA7F18">
      <w:trPr>
        <w:trHeight w:val="558"/>
      </w:trPr>
      <w:tc>
        <w:tcPr>
          <w:tcW w:w="3020" w:type="dxa"/>
          <w:vMerge w:val="restart"/>
        </w:tcPr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QM-Handbuch</w:t>
          </w:r>
        </w:p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Beispiel-Apotheke</w:t>
          </w:r>
        </w:p>
        <w:p w:rsidR="00CE1011" w:rsidRPr="00CE1011" w:rsidRDefault="00CE1011" w:rsidP="00CE1011">
          <w:pPr>
            <w:pStyle w:val="Kopfzeile"/>
            <w:rPr>
              <w:lang w:val="de-DE"/>
            </w:rPr>
          </w:pPr>
          <w:r w:rsidRPr="00CE1011">
            <w:rPr>
              <w:b/>
              <w:lang w:val="de-DE"/>
            </w:rPr>
            <w:t>00000 Beispielstadt</w:t>
          </w:r>
        </w:p>
      </w:tc>
      <w:tc>
        <w:tcPr>
          <w:tcW w:w="3021" w:type="dxa"/>
        </w:tcPr>
        <w:p w:rsidR="00CE1011" w:rsidRPr="00CE1011" w:rsidRDefault="00135D6F" w:rsidP="00CE1011">
          <w:pPr>
            <w:pStyle w:val="Kopfzeile"/>
            <w:rPr>
              <w:b/>
              <w:sz w:val="32"/>
              <w:lang w:val="de-DE"/>
            </w:rPr>
          </w:pPr>
          <w:r>
            <w:rPr>
              <w:b/>
              <w:sz w:val="32"/>
              <w:lang w:val="de-DE"/>
            </w:rPr>
            <w:t>Anlage 3</w:t>
          </w:r>
        </w:p>
        <w:p w:rsidR="00CE1011" w:rsidRPr="00CE1011" w:rsidRDefault="005C16FA" w:rsidP="00CE1011">
          <w:pPr>
            <w:pStyle w:val="Kopfzeile"/>
            <w:rPr>
              <w:b/>
              <w:lang w:val="de-DE"/>
            </w:rPr>
          </w:pPr>
          <w:r>
            <w:rPr>
              <w:b/>
              <w:sz w:val="32"/>
              <w:lang w:val="de-DE"/>
            </w:rPr>
            <w:t>z</w:t>
          </w:r>
          <w:r w:rsidR="00CE1011" w:rsidRPr="00CE1011">
            <w:rPr>
              <w:b/>
              <w:sz w:val="32"/>
              <w:lang w:val="de-DE"/>
            </w:rPr>
            <w:t xml:space="preserve">u Prozess </w:t>
          </w:r>
          <w:proofErr w:type="spellStart"/>
          <w:r w:rsidR="00CE1011" w:rsidRPr="00CE1011">
            <w:rPr>
              <w:b/>
              <w:sz w:val="32"/>
              <w:lang w:val="de-DE"/>
            </w:rPr>
            <w:t>xy</w:t>
          </w:r>
          <w:proofErr w:type="spellEnd"/>
        </w:p>
      </w:tc>
      <w:tc>
        <w:tcPr>
          <w:tcW w:w="4024" w:type="dxa"/>
        </w:tcPr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Freigegeben am:</w:t>
          </w:r>
        </w:p>
      </w:tc>
    </w:tr>
    <w:tr w:rsidR="00CE1011" w:rsidRPr="00CE1011" w:rsidTr="00AA7F18">
      <w:trPr>
        <w:trHeight w:val="551"/>
      </w:trPr>
      <w:tc>
        <w:tcPr>
          <w:tcW w:w="3020" w:type="dxa"/>
          <w:vMerge/>
        </w:tcPr>
        <w:p w:rsidR="00CE1011" w:rsidRPr="00CE1011" w:rsidRDefault="00CE1011" w:rsidP="00CE1011">
          <w:pPr>
            <w:pStyle w:val="Kopfzeile"/>
            <w:rPr>
              <w:lang w:val="de-DE"/>
            </w:rPr>
          </w:pPr>
        </w:p>
      </w:tc>
      <w:tc>
        <w:tcPr>
          <w:tcW w:w="3021" w:type="dxa"/>
        </w:tcPr>
        <w:p w:rsidR="00CE1011" w:rsidRDefault="00CE1011" w:rsidP="00CE1011">
          <w:pPr>
            <w:pStyle w:val="Kopfzeile"/>
            <w:rPr>
              <w:b/>
              <w:lang w:val="de-DE"/>
            </w:rPr>
          </w:pPr>
          <w:r>
            <w:rPr>
              <w:b/>
              <w:lang w:val="de-DE"/>
            </w:rPr>
            <w:t>Seite 2</w:t>
          </w:r>
          <w:r w:rsidRPr="00CE1011">
            <w:rPr>
              <w:b/>
              <w:lang w:val="de-DE"/>
            </w:rPr>
            <w:t>/2</w:t>
          </w:r>
        </w:p>
        <w:p w:rsidR="00652BB0" w:rsidRPr="00CE1011" w:rsidRDefault="00652BB0" w:rsidP="00CE1011">
          <w:pPr>
            <w:pStyle w:val="Kopfzeile"/>
            <w:rPr>
              <w:b/>
              <w:lang w:val="de-DE"/>
            </w:rPr>
          </w:pPr>
          <w:r>
            <w:rPr>
              <w:b/>
              <w:lang w:val="de-DE"/>
            </w:rPr>
            <w:t>Version 1</w:t>
          </w:r>
        </w:p>
      </w:tc>
      <w:tc>
        <w:tcPr>
          <w:tcW w:w="4024" w:type="dxa"/>
        </w:tcPr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Freigegeben durch:</w:t>
          </w:r>
        </w:p>
      </w:tc>
    </w:tr>
  </w:tbl>
  <w:p w:rsidR="00CE1011" w:rsidRDefault="00CE10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65" w:type="dxa"/>
      <w:tblInd w:w="-572" w:type="dxa"/>
      <w:tblLook w:val="04A0" w:firstRow="1" w:lastRow="0" w:firstColumn="1" w:lastColumn="0" w:noHBand="0" w:noVBand="1"/>
    </w:tblPr>
    <w:tblGrid>
      <w:gridCol w:w="3020"/>
      <w:gridCol w:w="3021"/>
      <w:gridCol w:w="4024"/>
    </w:tblGrid>
    <w:tr w:rsidR="00CE1011" w:rsidRPr="00CE1011" w:rsidTr="00CE1011">
      <w:trPr>
        <w:trHeight w:val="558"/>
      </w:trPr>
      <w:tc>
        <w:tcPr>
          <w:tcW w:w="3020" w:type="dxa"/>
          <w:vMerge w:val="restart"/>
        </w:tcPr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QM-Handbuch</w:t>
          </w:r>
        </w:p>
        <w:p w:rsidR="00CE1011" w:rsidRPr="00CE1011" w:rsidRDefault="00CE1011" w:rsidP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Beispiel-Apotheke</w:t>
          </w:r>
        </w:p>
        <w:p w:rsidR="00CE1011" w:rsidRPr="00CE1011" w:rsidRDefault="00CE1011" w:rsidP="00CE1011">
          <w:pPr>
            <w:pStyle w:val="Kopfzeile"/>
            <w:rPr>
              <w:lang w:val="de-DE"/>
            </w:rPr>
          </w:pPr>
          <w:r w:rsidRPr="00CE1011">
            <w:rPr>
              <w:b/>
              <w:lang w:val="de-DE"/>
            </w:rPr>
            <w:t>00000 Beispielstadt</w:t>
          </w:r>
        </w:p>
      </w:tc>
      <w:tc>
        <w:tcPr>
          <w:tcW w:w="3021" w:type="dxa"/>
        </w:tcPr>
        <w:p w:rsidR="00CE1011" w:rsidRPr="00CE1011" w:rsidRDefault="00135D6F">
          <w:pPr>
            <w:pStyle w:val="Kopfzeile"/>
            <w:rPr>
              <w:b/>
              <w:sz w:val="32"/>
              <w:lang w:val="de-DE"/>
            </w:rPr>
          </w:pPr>
          <w:r>
            <w:rPr>
              <w:b/>
              <w:sz w:val="32"/>
              <w:lang w:val="de-DE"/>
            </w:rPr>
            <w:t>Anlage 3</w:t>
          </w:r>
        </w:p>
        <w:p w:rsidR="00CE1011" w:rsidRPr="00CE1011" w:rsidRDefault="00E12876">
          <w:pPr>
            <w:pStyle w:val="Kopfzeile"/>
            <w:rPr>
              <w:b/>
              <w:lang w:val="de-DE"/>
            </w:rPr>
          </w:pPr>
          <w:r>
            <w:rPr>
              <w:b/>
              <w:sz w:val="32"/>
              <w:lang w:val="de-DE"/>
            </w:rPr>
            <w:t>z</w:t>
          </w:r>
          <w:r w:rsidR="00CE1011" w:rsidRPr="00CE1011">
            <w:rPr>
              <w:b/>
              <w:sz w:val="32"/>
              <w:lang w:val="de-DE"/>
            </w:rPr>
            <w:t xml:space="preserve">u Prozess </w:t>
          </w:r>
          <w:proofErr w:type="spellStart"/>
          <w:r w:rsidR="00CE1011" w:rsidRPr="00CE1011">
            <w:rPr>
              <w:b/>
              <w:sz w:val="32"/>
              <w:lang w:val="de-DE"/>
            </w:rPr>
            <w:t>xy</w:t>
          </w:r>
          <w:proofErr w:type="spellEnd"/>
        </w:p>
      </w:tc>
      <w:tc>
        <w:tcPr>
          <w:tcW w:w="4024" w:type="dxa"/>
        </w:tcPr>
        <w:p w:rsidR="00CE1011" w:rsidRPr="00CE1011" w:rsidRDefault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Freigegeben am:</w:t>
          </w:r>
        </w:p>
      </w:tc>
    </w:tr>
    <w:tr w:rsidR="00CE1011" w:rsidRPr="00CE1011" w:rsidTr="00CE1011">
      <w:trPr>
        <w:trHeight w:val="551"/>
      </w:trPr>
      <w:tc>
        <w:tcPr>
          <w:tcW w:w="3020" w:type="dxa"/>
          <w:vMerge/>
        </w:tcPr>
        <w:p w:rsidR="00CE1011" w:rsidRPr="00CE1011" w:rsidRDefault="00CE1011">
          <w:pPr>
            <w:pStyle w:val="Kopfzeile"/>
            <w:rPr>
              <w:lang w:val="de-DE"/>
            </w:rPr>
          </w:pPr>
        </w:p>
      </w:tc>
      <w:tc>
        <w:tcPr>
          <w:tcW w:w="3021" w:type="dxa"/>
        </w:tcPr>
        <w:p w:rsidR="00CE1011" w:rsidRDefault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Seite 1/2</w:t>
          </w:r>
        </w:p>
        <w:p w:rsidR="00652BB0" w:rsidRPr="00CE1011" w:rsidRDefault="00652BB0">
          <w:pPr>
            <w:pStyle w:val="Kopfzeile"/>
            <w:rPr>
              <w:b/>
              <w:lang w:val="de-DE"/>
            </w:rPr>
          </w:pPr>
          <w:r>
            <w:rPr>
              <w:b/>
              <w:lang w:val="de-DE"/>
            </w:rPr>
            <w:t>Version 1</w:t>
          </w:r>
        </w:p>
      </w:tc>
      <w:tc>
        <w:tcPr>
          <w:tcW w:w="4024" w:type="dxa"/>
        </w:tcPr>
        <w:p w:rsidR="00CE1011" w:rsidRPr="00CE1011" w:rsidRDefault="00CE1011">
          <w:pPr>
            <w:pStyle w:val="Kopfzeile"/>
            <w:rPr>
              <w:b/>
              <w:lang w:val="de-DE"/>
            </w:rPr>
          </w:pPr>
          <w:r w:rsidRPr="00CE1011">
            <w:rPr>
              <w:b/>
              <w:lang w:val="de-DE"/>
            </w:rPr>
            <w:t>Freigegeben durch:</w:t>
          </w:r>
        </w:p>
      </w:tc>
    </w:tr>
  </w:tbl>
  <w:p w:rsidR="00CE1011" w:rsidRPr="00CE1011" w:rsidRDefault="00CE1011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EE"/>
    <w:rsid w:val="00030291"/>
    <w:rsid w:val="00135D6F"/>
    <w:rsid w:val="001B1A7F"/>
    <w:rsid w:val="001C7255"/>
    <w:rsid w:val="002A76E1"/>
    <w:rsid w:val="00334FA3"/>
    <w:rsid w:val="004932A9"/>
    <w:rsid w:val="00557D61"/>
    <w:rsid w:val="005C16FA"/>
    <w:rsid w:val="00616144"/>
    <w:rsid w:val="00652BB0"/>
    <w:rsid w:val="009E54EE"/>
    <w:rsid w:val="00A835F9"/>
    <w:rsid w:val="00A873E0"/>
    <w:rsid w:val="00B259DC"/>
    <w:rsid w:val="00BF0D4F"/>
    <w:rsid w:val="00CE1011"/>
    <w:rsid w:val="00D50A6F"/>
    <w:rsid w:val="00DC2E94"/>
    <w:rsid w:val="00E12876"/>
    <w:rsid w:val="00E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C8E41-CEC3-439B-A04D-5E16227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2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011"/>
  </w:style>
  <w:style w:type="paragraph" w:styleId="Fuzeile">
    <w:name w:val="footer"/>
    <w:basedOn w:val="Standard"/>
    <w:link w:val="FuzeileZchn"/>
    <w:uiPriority w:val="99"/>
    <w:unhideWhenUsed/>
    <w:rsid w:val="00CE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0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HRA-PHARMA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Neuenfeldt</dc:creator>
  <cp:keywords/>
  <dc:description/>
  <cp:lastModifiedBy>Miriam Neuenfeldt</cp:lastModifiedBy>
  <cp:revision>6</cp:revision>
  <cp:lastPrinted>2015-11-02T13:19:00Z</cp:lastPrinted>
  <dcterms:created xsi:type="dcterms:W3CDTF">2015-10-28T13:28:00Z</dcterms:created>
  <dcterms:modified xsi:type="dcterms:W3CDTF">2015-11-02T13:19:00Z</dcterms:modified>
</cp:coreProperties>
</file>